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2CA" w:rsidRPr="00AE0674" w:rsidRDefault="008552CA" w:rsidP="008552CA">
      <w:pPr>
        <w:widowControl w:val="0"/>
        <w:jc w:val="center"/>
        <w:outlineLvl w:val="0"/>
        <w:rPr>
          <w:b/>
          <w:bCs/>
          <w:szCs w:val="28"/>
        </w:rPr>
      </w:pPr>
      <w:r w:rsidRPr="00AE0674">
        <w:rPr>
          <w:b/>
          <w:bCs/>
          <w:szCs w:val="28"/>
        </w:rPr>
        <w:t>Пояснительная записка к предварительным итогам социально-экономического развития муниципального образования город Мурманск за первое полугодие 201</w:t>
      </w:r>
      <w:r w:rsidR="00F6581E" w:rsidRPr="00AE0674">
        <w:rPr>
          <w:b/>
          <w:bCs/>
          <w:szCs w:val="28"/>
        </w:rPr>
        <w:t>5</w:t>
      </w:r>
      <w:r w:rsidRPr="00AE0674">
        <w:rPr>
          <w:b/>
          <w:bCs/>
          <w:szCs w:val="28"/>
        </w:rPr>
        <w:t xml:space="preserve"> года и ожидаемым итогам социально-экономического развития за 201</w:t>
      </w:r>
      <w:r w:rsidR="00F6581E" w:rsidRPr="00AE0674">
        <w:rPr>
          <w:b/>
          <w:bCs/>
          <w:szCs w:val="28"/>
        </w:rPr>
        <w:t>5</w:t>
      </w:r>
      <w:r w:rsidRPr="00AE0674">
        <w:rPr>
          <w:b/>
          <w:bCs/>
          <w:szCs w:val="28"/>
        </w:rPr>
        <w:t xml:space="preserve"> год</w:t>
      </w:r>
    </w:p>
    <w:p w:rsidR="00B70349" w:rsidRDefault="00B70349" w:rsidP="00B70349">
      <w:pPr>
        <w:ind w:firstLine="709"/>
      </w:pPr>
    </w:p>
    <w:p w:rsidR="00B70349" w:rsidRPr="00B70349" w:rsidRDefault="00B70349" w:rsidP="00B70349">
      <w:pPr>
        <w:ind w:firstLine="709"/>
        <w:rPr>
          <w:b/>
        </w:rPr>
      </w:pPr>
      <w:r w:rsidRPr="00B70349">
        <w:rPr>
          <w:b/>
        </w:rPr>
        <w:t>Демографические показатели</w:t>
      </w:r>
    </w:p>
    <w:p w:rsidR="00B70349" w:rsidRDefault="00B70349" w:rsidP="00B70349">
      <w:pPr>
        <w:ind w:firstLine="709"/>
        <w:rPr>
          <w:b/>
        </w:rPr>
      </w:pPr>
    </w:p>
    <w:p w:rsidR="00B70349" w:rsidRPr="00DD7417" w:rsidRDefault="00B70349" w:rsidP="00B70349">
      <w:pPr>
        <w:ind w:firstLine="709"/>
        <w:jc w:val="both"/>
        <w:rPr>
          <w:szCs w:val="28"/>
        </w:rPr>
      </w:pPr>
      <w:r w:rsidRPr="000D0B9D">
        <w:rPr>
          <w:szCs w:val="28"/>
        </w:rPr>
        <w:t>Динамика показателей естественного движения населения города Мурманска в первом полугодии 201</w:t>
      </w:r>
      <w:r>
        <w:rPr>
          <w:szCs w:val="28"/>
        </w:rPr>
        <w:t>5</w:t>
      </w:r>
      <w:r w:rsidRPr="000D0B9D">
        <w:rPr>
          <w:szCs w:val="28"/>
        </w:rPr>
        <w:t xml:space="preserve"> года к соответствующему периоду 201</w:t>
      </w:r>
      <w:r>
        <w:rPr>
          <w:szCs w:val="28"/>
        </w:rPr>
        <w:t>4</w:t>
      </w:r>
      <w:r w:rsidRPr="000D0B9D">
        <w:rPr>
          <w:szCs w:val="28"/>
        </w:rPr>
        <w:t xml:space="preserve"> года характеризуется ростом как числа родившихся, так и умерших. В январе-июне текущего года родилось </w:t>
      </w:r>
      <w:r>
        <w:rPr>
          <w:szCs w:val="28"/>
        </w:rPr>
        <w:t>1858</w:t>
      </w:r>
      <w:r w:rsidRPr="000D0B9D">
        <w:rPr>
          <w:szCs w:val="28"/>
        </w:rPr>
        <w:t xml:space="preserve"> человек – на </w:t>
      </w:r>
      <w:r>
        <w:rPr>
          <w:szCs w:val="28"/>
        </w:rPr>
        <w:t>184</w:t>
      </w:r>
      <w:r w:rsidRPr="000D0B9D">
        <w:rPr>
          <w:szCs w:val="28"/>
        </w:rPr>
        <w:t xml:space="preserve"> человек</w:t>
      </w:r>
      <w:r>
        <w:rPr>
          <w:szCs w:val="28"/>
        </w:rPr>
        <w:t>а</w:t>
      </w:r>
      <w:r w:rsidRPr="000D0B9D">
        <w:rPr>
          <w:szCs w:val="28"/>
        </w:rPr>
        <w:t xml:space="preserve"> больш</w:t>
      </w:r>
      <w:r>
        <w:rPr>
          <w:szCs w:val="28"/>
        </w:rPr>
        <w:t>е, чем в аналогичном периоде 2014</w:t>
      </w:r>
      <w:r w:rsidRPr="000D0B9D">
        <w:rPr>
          <w:szCs w:val="28"/>
        </w:rPr>
        <w:t xml:space="preserve"> года, а умерло </w:t>
      </w:r>
      <w:r>
        <w:rPr>
          <w:szCs w:val="28"/>
        </w:rPr>
        <w:t>1816</w:t>
      </w:r>
      <w:r w:rsidRPr="000D0B9D">
        <w:rPr>
          <w:szCs w:val="28"/>
        </w:rPr>
        <w:t xml:space="preserve"> человек – на </w:t>
      </w:r>
      <w:r>
        <w:rPr>
          <w:szCs w:val="28"/>
        </w:rPr>
        <w:t>73</w:t>
      </w:r>
      <w:r w:rsidRPr="000D0B9D">
        <w:rPr>
          <w:szCs w:val="28"/>
        </w:rPr>
        <w:t xml:space="preserve"> человек</w:t>
      </w:r>
      <w:r>
        <w:rPr>
          <w:szCs w:val="28"/>
        </w:rPr>
        <w:t>а</w:t>
      </w:r>
      <w:r w:rsidRPr="000D0B9D">
        <w:rPr>
          <w:szCs w:val="28"/>
        </w:rPr>
        <w:t xml:space="preserve"> больше</w:t>
      </w:r>
      <w:r>
        <w:rPr>
          <w:szCs w:val="28"/>
        </w:rPr>
        <w:t xml:space="preserve"> (что связано с присоединением п.г.т. </w:t>
      </w:r>
      <w:proofErr w:type="spellStart"/>
      <w:r>
        <w:rPr>
          <w:szCs w:val="28"/>
        </w:rPr>
        <w:t>Росляково</w:t>
      </w:r>
      <w:proofErr w:type="spellEnd"/>
      <w:r>
        <w:rPr>
          <w:szCs w:val="28"/>
        </w:rPr>
        <w:t>)</w:t>
      </w:r>
      <w:r w:rsidRPr="000D0B9D">
        <w:rPr>
          <w:szCs w:val="28"/>
        </w:rPr>
        <w:t xml:space="preserve">. Таким образом, коэффициент рождаемости увеличился с </w:t>
      </w:r>
      <w:r>
        <w:rPr>
          <w:szCs w:val="28"/>
        </w:rPr>
        <w:t>11,3</w:t>
      </w:r>
      <w:r w:rsidRPr="000D0B9D">
        <w:rPr>
          <w:szCs w:val="28"/>
        </w:rPr>
        <w:t xml:space="preserve"> до 1</w:t>
      </w:r>
      <w:r>
        <w:rPr>
          <w:szCs w:val="28"/>
        </w:rPr>
        <w:t>2,3</w:t>
      </w:r>
      <w:r w:rsidRPr="000D0B9D">
        <w:rPr>
          <w:szCs w:val="28"/>
        </w:rPr>
        <w:t xml:space="preserve"> родившихся на 1000 человек населения, смертности – с 11,</w:t>
      </w:r>
      <w:r>
        <w:rPr>
          <w:szCs w:val="28"/>
        </w:rPr>
        <w:t>7</w:t>
      </w:r>
      <w:r w:rsidRPr="000D0B9D">
        <w:rPr>
          <w:szCs w:val="28"/>
        </w:rPr>
        <w:t xml:space="preserve"> до </w:t>
      </w:r>
      <w:r>
        <w:rPr>
          <w:szCs w:val="28"/>
        </w:rPr>
        <w:t>12,0</w:t>
      </w:r>
      <w:r w:rsidRPr="000D0B9D">
        <w:rPr>
          <w:szCs w:val="28"/>
        </w:rPr>
        <w:t xml:space="preserve"> человек на 1000 населения. </w:t>
      </w:r>
      <w:r>
        <w:rPr>
          <w:szCs w:val="28"/>
        </w:rPr>
        <w:t>Существенное увеличение рождаемости привело к естественному приросту населения в размере 0,3</w:t>
      </w:r>
      <w:r w:rsidRPr="007C7D90">
        <w:rPr>
          <w:szCs w:val="28"/>
        </w:rPr>
        <w:t xml:space="preserve"> </w:t>
      </w:r>
      <w:r w:rsidRPr="000D0B9D">
        <w:rPr>
          <w:szCs w:val="28"/>
        </w:rPr>
        <w:t>человек на 1000 населения</w:t>
      </w:r>
      <w:r>
        <w:rPr>
          <w:szCs w:val="28"/>
        </w:rPr>
        <w:t xml:space="preserve"> (против убыли -0,4</w:t>
      </w:r>
      <w:r w:rsidRPr="007C7D90">
        <w:rPr>
          <w:szCs w:val="28"/>
        </w:rPr>
        <w:t xml:space="preserve"> </w:t>
      </w:r>
      <w:r w:rsidRPr="000D0B9D">
        <w:rPr>
          <w:szCs w:val="28"/>
        </w:rPr>
        <w:t>человек на 1000 населения</w:t>
      </w:r>
      <w:r>
        <w:rPr>
          <w:szCs w:val="28"/>
        </w:rPr>
        <w:t xml:space="preserve"> в январе-июне 2014 года). Ожидается, что по итогам года родится на 236 человек больше, чем в 2013 году, коэффициент рождаемости составит 11,97 </w:t>
      </w:r>
      <w:r w:rsidRPr="000D0B9D">
        <w:rPr>
          <w:szCs w:val="28"/>
        </w:rPr>
        <w:t>родившихся на 1000 человек населения</w:t>
      </w:r>
      <w:r>
        <w:rPr>
          <w:szCs w:val="28"/>
        </w:rPr>
        <w:t>, коэффициент смертности – 11,98</w:t>
      </w:r>
      <w:r w:rsidRPr="00DD7417">
        <w:rPr>
          <w:szCs w:val="28"/>
        </w:rPr>
        <w:t xml:space="preserve"> </w:t>
      </w:r>
      <w:r w:rsidRPr="000D0B9D">
        <w:rPr>
          <w:szCs w:val="28"/>
        </w:rPr>
        <w:t>человек на 1000 населения</w:t>
      </w:r>
      <w:r>
        <w:rPr>
          <w:szCs w:val="28"/>
        </w:rPr>
        <w:t>, коэффициент естественного прироста – -0,01</w:t>
      </w:r>
      <w:r w:rsidRPr="00DD7417">
        <w:rPr>
          <w:szCs w:val="28"/>
        </w:rPr>
        <w:t xml:space="preserve"> </w:t>
      </w:r>
      <w:r w:rsidRPr="000D0B9D">
        <w:rPr>
          <w:szCs w:val="28"/>
        </w:rPr>
        <w:t>человек на 1000 населения</w:t>
      </w:r>
      <w:r>
        <w:rPr>
          <w:szCs w:val="28"/>
        </w:rPr>
        <w:t>.</w:t>
      </w:r>
    </w:p>
    <w:p w:rsidR="00B70349" w:rsidRDefault="00B70349" w:rsidP="00B70349">
      <w:pPr>
        <w:ind w:firstLine="709"/>
        <w:jc w:val="both"/>
        <w:rPr>
          <w:szCs w:val="28"/>
        </w:rPr>
      </w:pPr>
      <w:r w:rsidRPr="00DD7417">
        <w:rPr>
          <w:szCs w:val="28"/>
        </w:rPr>
        <w:t>Основной и наиболее</w:t>
      </w:r>
      <w:r w:rsidRPr="000D0B9D">
        <w:rPr>
          <w:szCs w:val="28"/>
        </w:rPr>
        <w:t xml:space="preserve"> существенной причиной сокращения численности населения города Мурманска остается миграционный отток. </w:t>
      </w:r>
    </w:p>
    <w:p w:rsidR="00B70349" w:rsidRPr="000D0B9D" w:rsidRDefault="00B70349" w:rsidP="00B70349">
      <w:pPr>
        <w:ind w:firstLine="709"/>
        <w:jc w:val="both"/>
        <w:rPr>
          <w:szCs w:val="28"/>
        </w:rPr>
      </w:pPr>
      <w:r>
        <w:rPr>
          <w:bCs/>
          <w:szCs w:val="28"/>
        </w:rPr>
        <w:t>В 2014 году миграционная убыль населения составила 2621 человек. Всего за год выбыло 13994 человека. В то же время количество прибывших в 2014 году увеличилось на 1717 человек. Рост обусловлен  и притоком беженцев из Украины, и притоком медицинских кадров в рамках муниципальной программы «Развитие здравоохранения» и т.д.</w:t>
      </w:r>
      <w:r>
        <w:rPr>
          <w:szCs w:val="28"/>
        </w:rPr>
        <w:t xml:space="preserve"> </w:t>
      </w:r>
      <w:r w:rsidRPr="000D0B9D">
        <w:rPr>
          <w:szCs w:val="28"/>
        </w:rPr>
        <w:t xml:space="preserve">К концу года ожидается сокращение уровня миграционного оттока до </w:t>
      </w:r>
      <w:r>
        <w:rPr>
          <w:szCs w:val="28"/>
        </w:rPr>
        <w:t>6,26</w:t>
      </w:r>
      <w:r w:rsidRPr="000D0B9D">
        <w:rPr>
          <w:szCs w:val="28"/>
        </w:rPr>
        <w:t xml:space="preserve"> человек на 1000 населения.</w:t>
      </w:r>
    </w:p>
    <w:p w:rsidR="00B70349" w:rsidRDefault="00B70349" w:rsidP="00B70349">
      <w:pPr>
        <w:ind w:firstLine="709"/>
        <w:jc w:val="both"/>
        <w:rPr>
          <w:szCs w:val="28"/>
        </w:rPr>
      </w:pPr>
      <w:r>
        <w:rPr>
          <w:szCs w:val="28"/>
        </w:rPr>
        <w:t xml:space="preserve">В </w:t>
      </w:r>
      <w:r w:rsidRPr="007928F3">
        <w:rPr>
          <w:szCs w:val="28"/>
        </w:rPr>
        <w:t>201</w:t>
      </w:r>
      <w:r>
        <w:rPr>
          <w:szCs w:val="28"/>
        </w:rPr>
        <w:t>5</w:t>
      </w:r>
      <w:r w:rsidRPr="007928F3">
        <w:rPr>
          <w:szCs w:val="28"/>
        </w:rPr>
        <w:t xml:space="preserve"> году </w:t>
      </w:r>
      <w:r>
        <w:rPr>
          <w:szCs w:val="28"/>
        </w:rPr>
        <w:t>в</w:t>
      </w:r>
      <w:r w:rsidRPr="00A922E7">
        <w:rPr>
          <w:szCs w:val="28"/>
        </w:rPr>
        <w:t xml:space="preserve"> связи с присоединением п.г.т. </w:t>
      </w:r>
      <w:proofErr w:type="spellStart"/>
      <w:r w:rsidRPr="00A922E7">
        <w:rPr>
          <w:szCs w:val="28"/>
        </w:rPr>
        <w:t>Росляково</w:t>
      </w:r>
      <w:proofErr w:type="spellEnd"/>
      <w:r w:rsidRPr="00A922E7">
        <w:rPr>
          <w:szCs w:val="28"/>
        </w:rPr>
        <w:t xml:space="preserve"> </w:t>
      </w:r>
      <w:r>
        <w:rPr>
          <w:szCs w:val="28"/>
        </w:rPr>
        <w:t xml:space="preserve">(8,8 тыс. человек) </w:t>
      </w:r>
      <w:r w:rsidRPr="00A922E7">
        <w:rPr>
          <w:szCs w:val="28"/>
        </w:rPr>
        <w:t xml:space="preserve">к </w:t>
      </w:r>
      <w:r w:rsidRPr="00A922E7">
        <w:rPr>
          <w:color w:val="000000"/>
          <w:szCs w:val="28"/>
        </w:rPr>
        <w:t>городу Мурманску численност</w:t>
      </w:r>
      <w:r>
        <w:rPr>
          <w:color w:val="000000"/>
          <w:szCs w:val="28"/>
        </w:rPr>
        <w:t>ь</w:t>
      </w:r>
      <w:r w:rsidRPr="00A922E7">
        <w:rPr>
          <w:color w:val="000000"/>
          <w:szCs w:val="28"/>
        </w:rPr>
        <w:t xml:space="preserve"> населения города Мурманска</w:t>
      </w:r>
      <w:r>
        <w:rPr>
          <w:color w:val="000000"/>
          <w:szCs w:val="28"/>
        </w:rPr>
        <w:t xml:space="preserve"> увеличилась, </w:t>
      </w:r>
      <w:r w:rsidRPr="00A922E7">
        <w:rPr>
          <w:color w:val="000000"/>
          <w:szCs w:val="28"/>
        </w:rPr>
        <w:t>ожидае</w:t>
      </w:r>
      <w:r>
        <w:rPr>
          <w:color w:val="000000"/>
          <w:szCs w:val="28"/>
        </w:rPr>
        <w:t>мое среднегодовое значение</w:t>
      </w:r>
      <w:r w:rsidRPr="00A922E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– 304,28 тыс. человек.</w:t>
      </w:r>
    </w:p>
    <w:p w:rsidR="00B70349" w:rsidRPr="00683B08" w:rsidRDefault="00B70349" w:rsidP="00B70349">
      <w:pPr>
        <w:ind w:firstLine="709"/>
        <w:jc w:val="both"/>
        <w:rPr>
          <w:szCs w:val="28"/>
        </w:rPr>
      </w:pPr>
      <w:r w:rsidRPr="00683B08">
        <w:rPr>
          <w:szCs w:val="28"/>
        </w:rPr>
        <w:t>На улучшение демографической ситуации в городе направлены муниципальные программы, в рамках которых оказывается поддержка молоды</w:t>
      </w:r>
      <w:r>
        <w:rPr>
          <w:szCs w:val="28"/>
        </w:rPr>
        <w:t>м</w:t>
      </w:r>
      <w:r w:rsidRPr="00683B08">
        <w:rPr>
          <w:szCs w:val="28"/>
        </w:rPr>
        <w:t xml:space="preserve"> сем</w:t>
      </w:r>
      <w:r>
        <w:rPr>
          <w:szCs w:val="28"/>
        </w:rPr>
        <w:t>ьям</w:t>
      </w:r>
      <w:r w:rsidRPr="00683B08">
        <w:rPr>
          <w:szCs w:val="28"/>
        </w:rPr>
        <w:t xml:space="preserve"> в решении жилищной проблемы, программы, направленные на совершенствование муниципального здравоохранения, поддержку социально-незащищенных слоев населения, развитие физической культуры и спорта и т.д.</w:t>
      </w:r>
    </w:p>
    <w:p w:rsidR="00B70349" w:rsidRDefault="00B70349" w:rsidP="008552CA">
      <w:pPr>
        <w:pStyle w:val="1"/>
        <w:widowControl w:val="0"/>
        <w:spacing w:before="120"/>
        <w:rPr>
          <w:caps w:val="0"/>
          <w:kern w:val="32"/>
          <w:sz w:val="28"/>
          <w:szCs w:val="28"/>
        </w:rPr>
      </w:pPr>
    </w:p>
    <w:p w:rsidR="008552CA" w:rsidRPr="00AE0674" w:rsidRDefault="008552CA" w:rsidP="008552CA">
      <w:pPr>
        <w:pStyle w:val="1"/>
        <w:widowControl w:val="0"/>
        <w:spacing w:before="120"/>
        <w:rPr>
          <w:caps w:val="0"/>
          <w:kern w:val="32"/>
          <w:sz w:val="28"/>
          <w:szCs w:val="28"/>
        </w:rPr>
      </w:pPr>
      <w:r w:rsidRPr="00AE0674">
        <w:rPr>
          <w:caps w:val="0"/>
          <w:kern w:val="32"/>
          <w:sz w:val="28"/>
          <w:szCs w:val="28"/>
        </w:rPr>
        <w:t>Производство товаров и услуг</w:t>
      </w:r>
    </w:p>
    <w:p w:rsidR="00CE4E99" w:rsidRPr="0029717F" w:rsidRDefault="008A48DC" w:rsidP="008A48DC">
      <w:pPr>
        <w:ind w:firstLine="567"/>
        <w:jc w:val="both"/>
      </w:pPr>
      <w:r w:rsidRPr="0029717F">
        <w:t xml:space="preserve">Индекс промышленного производства с учетом сложившихся </w:t>
      </w:r>
      <w:proofErr w:type="spellStart"/>
      <w:r w:rsidRPr="0029717F">
        <w:t>среднеобластных</w:t>
      </w:r>
      <w:proofErr w:type="spellEnd"/>
      <w:r w:rsidRPr="0029717F">
        <w:t xml:space="preserve"> индексов-дефляторов по отдельным видам экономической деятельности в январе-июне 2015 года оценочно составил 102,6% за счет увеличения промышленного производства в сопоставимых ценах по видам деятельности «Производство транспортных средств и оборудования» в 1,5 раза, на долю которого пришлось 8,3% объема отгруженной продукции обрабатывающих производств. </w:t>
      </w:r>
      <w:r w:rsidR="00CE4E99" w:rsidRPr="0029717F">
        <w:t xml:space="preserve">Незначительный рост по итогам 6 месяцев 2015 года отмечен в металлургическом производстве (101%) благодаря </w:t>
      </w:r>
      <w:r w:rsidR="00751530" w:rsidRPr="0029717F">
        <w:t>увеличению выпуска литейной продукции в сопоставимых ценах в 1,2 раза.</w:t>
      </w:r>
    </w:p>
    <w:p w:rsidR="00CE4E99" w:rsidRPr="0029717F" w:rsidRDefault="008A48DC" w:rsidP="008A48DC">
      <w:pPr>
        <w:ind w:firstLine="567"/>
        <w:jc w:val="both"/>
      </w:pPr>
      <w:proofErr w:type="gramStart"/>
      <w:r w:rsidRPr="0029717F">
        <w:t xml:space="preserve">Сохранение объемов промышленного производства </w:t>
      </w:r>
      <w:r w:rsidR="00CE4E99" w:rsidRPr="0029717F">
        <w:t xml:space="preserve">в первом полугодии 2015 года </w:t>
      </w:r>
      <w:r w:rsidRPr="0029717F">
        <w:t>на уровне аналогичного периода прошлого года отмечен</w:t>
      </w:r>
      <w:r w:rsidR="00CE4E99" w:rsidRPr="0029717F">
        <w:t>о по виду</w:t>
      </w:r>
      <w:r w:rsidRPr="0029717F">
        <w:t xml:space="preserve"> деятельности «Производство пищевых продуктов, включая напитки, и табака»</w:t>
      </w:r>
      <w:r w:rsidR="00A44259" w:rsidRPr="0029717F">
        <w:t>,</w:t>
      </w:r>
      <w:r w:rsidRPr="0029717F">
        <w:t xml:space="preserve"> с индексом производства</w:t>
      </w:r>
      <w:r w:rsidR="00A15D8C">
        <w:t>,</w:t>
      </w:r>
      <w:r w:rsidRPr="0029717F">
        <w:t xml:space="preserve"> оценочно составившим 100,4%</w:t>
      </w:r>
      <w:r w:rsidR="00A44259" w:rsidRPr="0029717F">
        <w:t>,</w:t>
      </w:r>
      <w:r w:rsidR="00CE4E99" w:rsidRPr="0029717F">
        <w:t xml:space="preserve"> из-за</w:t>
      </w:r>
      <w:r w:rsidR="00A44259" w:rsidRPr="0029717F">
        <w:t xml:space="preserve"> значительного</w:t>
      </w:r>
      <w:r w:rsidR="00CE4E99" w:rsidRPr="0029717F">
        <w:t xml:space="preserve"> снижения выпуска продуктов </w:t>
      </w:r>
      <w:r w:rsidR="00A44259" w:rsidRPr="0029717F">
        <w:t xml:space="preserve">мясной, </w:t>
      </w:r>
      <w:r w:rsidR="00CE4E99" w:rsidRPr="0029717F">
        <w:t>мукомольно-крупяной и комбикормовой промышленности</w:t>
      </w:r>
      <w:r w:rsidRPr="0029717F">
        <w:t>,</w:t>
      </w:r>
      <w:r w:rsidR="00CE4E99" w:rsidRPr="0029717F">
        <w:t xml:space="preserve"> </w:t>
      </w:r>
      <w:r w:rsidR="00751530" w:rsidRPr="0029717F">
        <w:t xml:space="preserve">а также </w:t>
      </w:r>
      <w:r w:rsidR="00CE4E99" w:rsidRPr="0029717F">
        <w:t>в текстильном и швейном производстве (100,7%) благодаря заметному росту производства одежды из меха (119,7%)</w:t>
      </w:r>
      <w:r w:rsidR="00751530" w:rsidRPr="0029717F">
        <w:t>.</w:t>
      </w:r>
      <w:proofErr w:type="gramEnd"/>
    </w:p>
    <w:p w:rsidR="00B7149D" w:rsidRPr="0029717F" w:rsidRDefault="00751530" w:rsidP="008A48DC">
      <w:pPr>
        <w:ind w:firstLine="567"/>
        <w:jc w:val="both"/>
      </w:pPr>
      <w:r w:rsidRPr="0029717F">
        <w:t xml:space="preserve">В структуре пищевой промышленности отмечен рост промышленного производства </w:t>
      </w:r>
      <w:r w:rsidR="00A44259" w:rsidRPr="0029717F">
        <w:t xml:space="preserve">в сопоставимых ценах в сфере переработки и консервирования </w:t>
      </w:r>
      <w:proofErr w:type="spellStart"/>
      <w:r w:rsidR="00A44259" w:rsidRPr="0029717F">
        <w:t>рыбо</w:t>
      </w:r>
      <w:proofErr w:type="spellEnd"/>
      <w:r w:rsidR="00A44259" w:rsidRPr="0029717F">
        <w:t>- и морепродуктов (101,6% к январю-июню 2015 года), картофеля, фруктов и овощей (в 2,1 раза)</w:t>
      </w:r>
      <w:r w:rsidR="00B7149D" w:rsidRPr="0029717F">
        <w:t>,</w:t>
      </w:r>
      <w:r w:rsidR="00A44259" w:rsidRPr="0029717F">
        <w:t xml:space="preserve"> </w:t>
      </w:r>
      <w:r w:rsidR="00B7149D" w:rsidRPr="0029717F">
        <w:t>среди других обрабатывающих производств – в сфере производства медицинских изделий, средств измерений, контроля, управления и испытаний, оптических приборов, фото- и кинооборудования, часов (157,6%), в производстве мебели и прочей продукции, не включенной в  другие группировки (103,1%).</w:t>
      </w:r>
    </w:p>
    <w:p w:rsidR="00037FCA" w:rsidRPr="0029717F" w:rsidRDefault="00E432BF" w:rsidP="008A48DC">
      <w:pPr>
        <w:ind w:firstLine="567"/>
        <w:jc w:val="both"/>
      </w:pPr>
      <w:r w:rsidRPr="0029717F">
        <w:t xml:space="preserve">В сфере производства и распределения электроэнергии, газа и воды сохраняется тенденция снижения производственных показателей. </w:t>
      </w:r>
      <w:proofErr w:type="gramStart"/>
      <w:r w:rsidRPr="0029717F">
        <w:t xml:space="preserve">Индекс промышленного производства в январе-июне 2015 года с </w:t>
      </w:r>
      <w:r w:rsidR="00AE0674">
        <w:t xml:space="preserve">учетом </w:t>
      </w:r>
      <w:proofErr w:type="spellStart"/>
      <w:r w:rsidR="00AE0674">
        <w:t>среднеобластного</w:t>
      </w:r>
      <w:proofErr w:type="spellEnd"/>
      <w:r w:rsidR="00AE0674">
        <w:t xml:space="preserve"> индекса-</w:t>
      </w:r>
      <w:r w:rsidRPr="0029717F">
        <w:t xml:space="preserve">дефлятора оценочно составил 98,5% к аналогичному периоду прошлого года, в том числе в сфере производства, передачи и распределения электроэнергии </w:t>
      </w:r>
      <w:r w:rsidR="00037FCA" w:rsidRPr="0029717F">
        <w:t>–</w:t>
      </w:r>
      <w:r w:rsidRPr="0029717F">
        <w:t xml:space="preserve"> </w:t>
      </w:r>
      <w:r w:rsidR="00037FCA" w:rsidRPr="0029717F">
        <w:t>91,2%, в сфере производства и распределения газообразного топлива – 93,4%. Объем произведенной тепловой энергии в натуральном выражении в январе-июне 2015 года составил 94,4% к аналогичному периоду прошлого года.</w:t>
      </w:r>
      <w:proofErr w:type="gramEnd"/>
    </w:p>
    <w:p w:rsidR="008D51F1" w:rsidRPr="0029717F" w:rsidRDefault="00E432BF" w:rsidP="008A48DC">
      <w:pPr>
        <w:ind w:firstLine="567"/>
        <w:jc w:val="both"/>
      </w:pPr>
      <w:proofErr w:type="gramStart"/>
      <w:r w:rsidRPr="0029717F">
        <w:t xml:space="preserve">По итогам 2015 года с учетом сложившихся тенденций в первом полугодии и данных </w:t>
      </w:r>
      <w:r w:rsidR="00F45F86" w:rsidRPr="0029717F">
        <w:t xml:space="preserve">ряда </w:t>
      </w:r>
      <w:r w:rsidR="00504C1F" w:rsidRPr="0029717F">
        <w:t xml:space="preserve">крупных и средних </w:t>
      </w:r>
      <w:r w:rsidRPr="0029717F">
        <w:t>организаций города Мурманска</w:t>
      </w:r>
      <w:r w:rsidR="0083157A" w:rsidRPr="0029717F">
        <w:t xml:space="preserve">, а также расширением судоремонтной базы города благодаря присоединению производственной базы района </w:t>
      </w:r>
      <w:proofErr w:type="spellStart"/>
      <w:r w:rsidR="0083157A" w:rsidRPr="0029717F">
        <w:t>Росляково</w:t>
      </w:r>
      <w:proofErr w:type="spellEnd"/>
      <w:r w:rsidR="00AE4A50" w:rsidRPr="0029717F">
        <w:t>,</w:t>
      </w:r>
      <w:r w:rsidR="0083157A" w:rsidRPr="0029717F">
        <w:t xml:space="preserve"> </w:t>
      </w:r>
      <w:r w:rsidRPr="0029717F">
        <w:t xml:space="preserve">ожидается </w:t>
      </w:r>
      <w:r w:rsidR="0083157A" w:rsidRPr="0029717F">
        <w:t>рост промышленного производства в обрабатывающей промышленности</w:t>
      </w:r>
      <w:r w:rsidR="00AE4A50" w:rsidRPr="0029717F">
        <w:t xml:space="preserve"> (102,3% к 2014 году в </w:t>
      </w:r>
      <w:r w:rsidR="00AE4A50" w:rsidRPr="0029717F">
        <w:lastRenderedPageBreak/>
        <w:t>сопоставимых ценах)</w:t>
      </w:r>
      <w:r w:rsidR="0083157A" w:rsidRPr="0029717F">
        <w:t xml:space="preserve">, в результате чего индекс промышленного производства в городе </w:t>
      </w:r>
      <w:r w:rsidR="00F45F86" w:rsidRPr="0029717F">
        <w:t xml:space="preserve">по оценочным данным </w:t>
      </w:r>
      <w:r w:rsidR="0083157A" w:rsidRPr="0029717F">
        <w:t xml:space="preserve">достигнет </w:t>
      </w:r>
      <w:r w:rsidR="00F45F86" w:rsidRPr="0029717F">
        <w:t>101,7%.</w:t>
      </w:r>
      <w:proofErr w:type="gramEnd"/>
    </w:p>
    <w:p w:rsidR="00B70349" w:rsidRDefault="00B70349" w:rsidP="008552CA">
      <w:pPr>
        <w:pStyle w:val="1"/>
        <w:keepNext w:val="0"/>
        <w:widowControl w:val="0"/>
        <w:spacing w:before="120"/>
        <w:rPr>
          <w:caps w:val="0"/>
          <w:kern w:val="32"/>
          <w:sz w:val="28"/>
          <w:szCs w:val="28"/>
        </w:rPr>
      </w:pPr>
    </w:p>
    <w:p w:rsidR="008552CA" w:rsidRPr="00AE0674" w:rsidRDefault="008552CA" w:rsidP="008552CA">
      <w:pPr>
        <w:pStyle w:val="1"/>
        <w:keepNext w:val="0"/>
        <w:widowControl w:val="0"/>
        <w:spacing w:before="120"/>
        <w:rPr>
          <w:caps w:val="0"/>
          <w:kern w:val="32"/>
          <w:sz w:val="28"/>
          <w:szCs w:val="28"/>
        </w:rPr>
      </w:pPr>
      <w:r w:rsidRPr="00AE0674">
        <w:rPr>
          <w:caps w:val="0"/>
          <w:kern w:val="32"/>
          <w:sz w:val="28"/>
          <w:szCs w:val="28"/>
        </w:rPr>
        <w:t>Рыболовство, рыбоводство</w:t>
      </w:r>
    </w:p>
    <w:p w:rsidR="00DF08A6" w:rsidRPr="0029717F" w:rsidRDefault="00266F66" w:rsidP="00493435">
      <w:pPr>
        <w:ind w:firstLine="709"/>
        <w:jc w:val="both"/>
      </w:pPr>
      <w:proofErr w:type="gramStart"/>
      <w:r w:rsidRPr="0029717F">
        <w:rPr>
          <w:szCs w:val="28"/>
        </w:rPr>
        <w:t>В первом полугодии 2015 года на фоне значительного снижения производственных показателей в 2014 году и</w:t>
      </w:r>
      <w:r w:rsidRPr="0029717F">
        <w:t xml:space="preserve">ндекс производства по виду деятельности «Рыболовство, Рыбоводство» с учетом сохранения высокого уровня </w:t>
      </w:r>
      <w:proofErr w:type="spellStart"/>
      <w:r w:rsidRPr="0029717F">
        <w:t>среднеобластного</w:t>
      </w:r>
      <w:proofErr w:type="spellEnd"/>
      <w:r w:rsidRPr="0029717F">
        <w:t xml:space="preserve"> индекса-дефлятора оценочно составил 198,2%.</w:t>
      </w:r>
      <w:r w:rsidR="00EA713D" w:rsidRPr="0029717F">
        <w:t xml:space="preserve"> </w:t>
      </w:r>
      <w:r w:rsidR="00DF08A6" w:rsidRPr="0029717F">
        <w:t xml:space="preserve">На фоне роста объемов производства мороженой рыбы (107,9% к январю-июню 2014 года), компенсирующей выпавший объем импорта, наблюдается снижение объемов производства свежей и охлажденной рыбы (94,1%). </w:t>
      </w:r>
      <w:proofErr w:type="gramEnd"/>
    </w:p>
    <w:p w:rsidR="00493435" w:rsidRPr="0029717F" w:rsidRDefault="00493435" w:rsidP="00493435">
      <w:pPr>
        <w:ind w:firstLine="709"/>
        <w:jc w:val="both"/>
      </w:pPr>
      <w:proofErr w:type="gramStart"/>
      <w:r w:rsidRPr="0029717F">
        <w:t>С</w:t>
      </w:r>
      <w:r w:rsidRPr="0029717F">
        <w:rPr>
          <w:szCs w:val="28"/>
        </w:rPr>
        <w:t>альдированный финансовый результат деятельности предприятий рыболовства, рыбоводства увеличился в январе-мае 2015 года в 3,5 раза до 6,5 млрд. рублей в результате увеличения п</w:t>
      </w:r>
      <w:r w:rsidRPr="0029717F">
        <w:t xml:space="preserve">рибыли предприятий в </w:t>
      </w:r>
      <w:r w:rsidR="0080309B" w:rsidRPr="0029717F">
        <w:t xml:space="preserve">3,2 раза благодаря </w:t>
      </w:r>
      <w:r w:rsidRPr="0029717F">
        <w:t>высокому росту курса валют, обеспечившему увеличение выручки от экспортной деятельности</w:t>
      </w:r>
      <w:r w:rsidR="00574A31" w:rsidRPr="0029717F">
        <w:t xml:space="preserve"> в январе-июне 2015 года</w:t>
      </w:r>
      <w:r w:rsidR="00C73CD7" w:rsidRPr="0029717F">
        <w:t xml:space="preserve"> в</w:t>
      </w:r>
      <w:r w:rsidR="00574A31" w:rsidRPr="0029717F">
        <w:t xml:space="preserve"> 1,5 раза при росте объема отгруженной продукции в натуральном выражении на 1,1%</w:t>
      </w:r>
      <w:r w:rsidR="0080309B" w:rsidRPr="0029717F">
        <w:t>.</w:t>
      </w:r>
      <w:proofErr w:type="gramEnd"/>
    </w:p>
    <w:p w:rsidR="00D25D28" w:rsidRPr="0029717F" w:rsidRDefault="00266F66" w:rsidP="00266F66">
      <w:pPr>
        <w:ind w:firstLine="709"/>
        <w:jc w:val="both"/>
        <w:rPr>
          <w:szCs w:val="28"/>
        </w:rPr>
      </w:pPr>
      <w:r w:rsidRPr="0029717F">
        <w:rPr>
          <w:szCs w:val="28"/>
        </w:rPr>
        <w:t>Объем инвестиций в сфере рыболовства, рыбоводства в первом квартале 201</w:t>
      </w:r>
      <w:r w:rsidR="00D25D28" w:rsidRPr="0029717F">
        <w:rPr>
          <w:szCs w:val="28"/>
        </w:rPr>
        <w:t>5</w:t>
      </w:r>
      <w:r w:rsidRPr="0029717F">
        <w:rPr>
          <w:szCs w:val="28"/>
        </w:rPr>
        <w:t xml:space="preserve"> года сократился </w:t>
      </w:r>
      <w:r w:rsidR="00D25D28" w:rsidRPr="0029717F">
        <w:rPr>
          <w:szCs w:val="28"/>
        </w:rPr>
        <w:t xml:space="preserve">в 2,6 раза до170,87 </w:t>
      </w:r>
      <w:r w:rsidRPr="0029717F">
        <w:rPr>
          <w:szCs w:val="28"/>
        </w:rPr>
        <w:t>млн. рублей (</w:t>
      </w:r>
      <w:r w:rsidR="00D25D28" w:rsidRPr="0029717F">
        <w:rPr>
          <w:szCs w:val="28"/>
        </w:rPr>
        <w:t>38</w:t>
      </w:r>
      <w:r w:rsidRPr="0029717F">
        <w:rPr>
          <w:szCs w:val="28"/>
        </w:rPr>
        <w:t xml:space="preserve">% к аналогичному периоду прошлого года), </w:t>
      </w:r>
      <w:r w:rsidR="00D25D28" w:rsidRPr="0029717F">
        <w:rPr>
          <w:szCs w:val="28"/>
        </w:rPr>
        <w:t xml:space="preserve">в том числе за счет собственных средств </w:t>
      </w:r>
      <w:r w:rsidR="00BD6922" w:rsidRPr="0029717F">
        <w:rPr>
          <w:szCs w:val="28"/>
        </w:rPr>
        <w:t xml:space="preserve">до </w:t>
      </w:r>
      <w:r w:rsidR="00D25D28" w:rsidRPr="0029717F">
        <w:rPr>
          <w:szCs w:val="28"/>
        </w:rPr>
        <w:t>89,5%</w:t>
      </w:r>
      <w:r w:rsidR="00BD6922" w:rsidRPr="0029717F">
        <w:rPr>
          <w:szCs w:val="28"/>
        </w:rPr>
        <w:t xml:space="preserve"> к январю-июню 2014 года.</w:t>
      </w:r>
      <w:r w:rsidR="00D25D28" w:rsidRPr="0029717F">
        <w:rPr>
          <w:szCs w:val="28"/>
        </w:rPr>
        <w:t xml:space="preserve"> </w:t>
      </w:r>
      <w:proofErr w:type="gramStart"/>
      <w:r w:rsidR="00BD6922" w:rsidRPr="0029717F">
        <w:rPr>
          <w:szCs w:val="28"/>
        </w:rPr>
        <w:t>В отсутствие кредитных ресурсов д</w:t>
      </w:r>
      <w:r w:rsidR="00D25D28" w:rsidRPr="0029717F">
        <w:rPr>
          <w:szCs w:val="28"/>
        </w:rPr>
        <w:t xml:space="preserve">оля </w:t>
      </w:r>
      <w:r w:rsidR="00BD6922" w:rsidRPr="0029717F">
        <w:rPr>
          <w:szCs w:val="28"/>
        </w:rPr>
        <w:t xml:space="preserve">собственных средств в объеме инвестиций </w:t>
      </w:r>
      <w:r w:rsidR="0080309B" w:rsidRPr="0029717F">
        <w:rPr>
          <w:szCs w:val="28"/>
        </w:rPr>
        <w:t xml:space="preserve">рыбопромышленных организаций </w:t>
      </w:r>
      <w:r w:rsidR="00BD6922" w:rsidRPr="0029717F">
        <w:rPr>
          <w:szCs w:val="28"/>
        </w:rPr>
        <w:t xml:space="preserve">возросла с 41,7% до 98,3%. </w:t>
      </w:r>
      <w:r w:rsidR="0080309B" w:rsidRPr="0029717F">
        <w:rPr>
          <w:szCs w:val="28"/>
        </w:rPr>
        <w:t>На предприятиях рыболовства, рыбоводства после трехлетнего сокращения н</w:t>
      </w:r>
      <w:r w:rsidR="00EA713D" w:rsidRPr="0029717F">
        <w:rPr>
          <w:szCs w:val="28"/>
        </w:rPr>
        <w:t xml:space="preserve">аметился рост численности работников (101,2% к январю-марту 2014 года), </w:t>
      </w:r>
      <w:r w:rsidR="0080309B" w:rsidRPr="0029717F">
        <w:rPr>
          <w:szCs w:val="28"/>
        </w:rPr>
        <w:t xml:space="preserve">при этом </w:t>
      </w:r>
      <w:r w:rsidR="00EA713D" w:rsidRPr="0029717F">
        <w:rPr>
          <w:szCs w:val="28"/>
        </w:rPr>
        <w:t xml:space="preserve">сохранились высокие темпы роста затрат на оплату труда </w:t>
      </w:r>
      <w:r w:rsidR="0080309B" w:rsidRPr="0029717F">
        <w:rPr>
          <w:szCs w:val="28"/>
        </w:rPr>
        <w:t xml:space="preserve">на уровне 2014 года </w:t>
      </w:r>
      <w:r w:rsidR="00EA713D" w:rsidRPr="0029717F">
        <w:rPr>
          <w:szCs w:val="28"/>
        </w:rPr>
        <w:t xml:space="preserve">(121,5%) и самый высокий уровень средней заработной платы </w:t>
      </w:r>
      <w:r w:rsidR="0080309B" w:rsidRPr="0029717F">
        <w:rPr>
          <w:szCs w:val="28"/>
        </w:rPr>
        <w:t xml:space="preserve">в городе </w:t>
      </w:r>
      <w:r w:rsidR="00EA713D" w:rsidRPr="0029717F">
        <w:rPr>
          <w:szCs w:val="28"/>
        </w:rPr>
        <w:t>(92897 рублей).</w:t>
      </w:r>
      <w:proofErr w:type="gramEnd"/>
    </w:p>
    <w:p w:rsidR="00591D3D" w:rsidRPr="0029717F" w:rsidRDefault="007E372C" w:rsidP="00591D3D">
      <w:pPr>
        <w:ind w:firstLine="709"/>
        <w:jc w:val="both"/>
        <w:rPr>
          <w:szCs w:val="28"/>
        </w:rPr>
      </w:pPr>
      <w:r w:rsidRPr="0029717F">
        <w:rPr>
          <w:szCs w:val="28"/>
        </w:rPr>
        <w:t xml:space="preserve">Согласно прогнозу ФГУП «ПИНРО» 2015 год </w:t>
      </w:r>
      <w:r w:rsidR="00A732DD" w:rsidRPr="0029717F">
        <w:rPr>
          <w:szCs w:val="28"/>
        </w:rPr>
        <w:t>является</w:t>
      </w:r>
      <w:r w:rsidRPr="0029717F">
        <w:rPr>
          <w:szCs w:val="28"/>
        </w:rPr>
        <w:t xml:space="preserve"> наиболее благоприятным для ведения промысла в Северном бассейне, позволяя на треть увеличить объем </w:t>
      </w:r>
      <w:proofErr w:type="spellStart"/>
      <w:r w:rsidRPr="0029717F">
        <w:rPr>
          <w:szCs w:val="28"/>
        </w:rPr>
        <w:t>рыбодобычи</w:t>
      </w:r>
      <w:proofErr w:type="spellEnd"/>
      <w:r w:rsidR="00A732DD" w:rsidRPr="0029717F">
        <w:rPr>
          <w:szCs w:val="28"/>
        </w:rPr>
        <w:t xml:space="preserve"> на фоне сокращения ожидаемых объемов вылова на протяжении 2012-2013 годов</w:t>
      </w:r>
      <w:r w:rsidRPr="0029717F">
        <w:rPr>
          <w:szCs w:val="28"/>
        </w:rPr>
        <w:t xml:space="preserve">. </w:t>
      </w:r>
      <w:r w:rsidR="00266F66" w:rsidRPr="0029717F">
        <w:rPr>
          <w:szCs w:val="28"/>
        </w:rPr>
        <w:t>По итогам 201</w:t>
      </w:r>
      <w:r w:rsidR="00A85CDC" w:rsidRPr="0029717F">
        <w:rPr>
          <w:szCs w:val="28"/>
        </w:rPr>
        <w:t>5</w:t>
      </w:r>
      <w:r w:rsidR="00574A31" w:rsidRPr="0029717F">
        <w:rPr>
          <w:szCs w:val="28"/>
        </w:rPr>
        <w:t xml:space="preserve"> года</w:t>
      </w:r>
      <w:r w:rsidR="00A85CDC" w:rsidRPr="0029717F">
        <w:rPr>
          <w:szCs w:val="28"/>
        </w:rPr>
        <w:t xml:space="preserve"> </w:t>
      </w:r>
      <w:r w:rsidR="00574A31" w:rsidRPr="0029717F">
        <w:rPr>
          <w:szCs w:val="28"/>
        </w:rPr>
        <w:t>по экспертным данным</w:t>
      </w:r>
      <w:r w:rsidR="00A85CDC" w:rsidRPr="0029717F">
        <w:rPr>
          <w:szCs w:val="28"/>
        </w:rPr>
        <w:t xml:space="preserve"> </w:t>
      </w:r>
      <w:r w:rsidR="00574A31" w:rsidRPr="0029717F">
        <w:t>Союза рыбопромышленников Севера</w:t>
      </w:r>
      <w:r w:rsidR="00A85CDC" w:rsidRPr="0029717F">
        <w:rPr>
          <w:szCs w:val="28"/>
        </w:rPr>
        <w:t xml:space="preserve"> </w:t>
      </w:r>
      <w:r w:rsidRPr="0029717F">
        <w:rPr>
          <w:szCs w:val="28"/>
        </w:rPr>
        <w:t xml:space="preserve">с учетом увеличенной национальной квоты пикши ожидается рост объема вылова водных биоресурсов (110,5%) и </w:t>
      </w:r>
      <w:r w:rsidR="00591D3D" w:rsidRPr="0029717F">
        <w:rPr>
          <w:szCs w:val="28"/>
        </w:rPr>
        <w:t xml:space="preserve">сохранение дальнейшего роста глубины переработки рыбного сырья </w:t>
      </w:r>
      <w:proofErr w:type="gramStart"/>
      <w:r w:rsidR="00591D3D" w:rsidRPr="0029717F">
        <w:rPr>
          <w:szCs w:val="28"/>
        </w:rPr>
        <w:t>на</w:t>
      </w:r>
      <w:proofErr w:type="gramEnd"/>
      <w:r w:rsidR="00591D3D" w:rsidRPr="0029717F">
        <w:rPr>
          <w:szCs w:val="28"/>
        </w:rPr>
        <w:t xml:space="preserve"> пищевую продукцию на 1 п.п.</w:t>
      </w:r>
      <w:r w:rsidR="00A732DD" w:rsidRPr="0029717F">
        <w:rPr>
          <w:szCs w:val="28"/>
        </w:rPr>
        <w:t>, в результате чего индекс промышленного производства по виду деятельности «Рыболовство, рыбоводство» оценочно составит 111,4%.</w:t>
      </w:r>
    </w:p>
    <w:p w:rsidR="008552CA" w:rsidRPr="00AE0674" w:rsidRDefault="008552CA" w:rsidP="008552CA">
      <w:pPr>
        <w:pStyle w:val="1"/>
        <w:keepNext w:val="0"/>
        <w:widowControl w:val="0"/>
        <w:spacing w:before="120"/>
        <w:rPr>
          <w:caps w:val="0"/>
          <w:kern w:val="32"/>
          <w:sz w:val="28"/>
          <w:szCs w:val="28"/>
        </w:rPr>
      </w:pPr>
      <w:r w:rsidRPr="00AE0674">
        <w:rPr>
          <w:caps w:val="0"/>
          <w:kern w:val="32"/>
          <w:sz w:val="28"/>
          <w:szCs w:val="28"/>
        </w:rPr>
        <w:t>Рынок товаров и услуг</w:t>
      </w:r>
    </w:p>
    <w:p w:rsidR="00E26BEC" w:rsidRPr="0029717F" w:rsidRDefault="00C76D73" w:rsidP="00E26BEC">
      <w:pPr>
        <w:ind w:firstLine="709"/>
        <w:jc w:val="both"/>
        <w:rPr>
          <w:szCs w:val="28"/>
        </w:rPr>
      </w:pPr>
      <w:r w:rsidRPr="0029717F">
        <w:t xml:space="preserve">На потребительском рынке </w:t>
      </w:r>
      <w:r w:rsidR="00BD111F" w:rsidRPr="0029717F">
        <w:t>города Мурманска</w:t>
      </w:r>
      <w:r w:rsidR="00E26BEC" w:rsidRPr="0029717F">
        <w:t>,</w:t>
      </w:r>
      <w:r w:rsidR="00BD111F" w:rsidRPr="0029717F">
        <w:t xml:space="preserve"> </w:t>
      </w:r>
      <w:r w:rsidR="006473B2" w:rsidRPr="0029717F">
        <w:t xml:space="preserve">несмотря на замедление </w:t>
      </w:r>
      <w:r w:rsidR="00BD111F" w:rsidRPr="0029717F">
        <w:t xml:space="preserve">инфляционного роста </w:t>
      </w:r>
      <w:r w:rsidR="006473B2" w:rsidRPr="0029717F">
        <w:t>в первой половине 2015 года</w:t>
      </w:r>
      <w:r w:rsidR="00E26BEC" w:rsidRPr="0029717F">
        <w:t>,</w:t>
      </w:r>
      <w:r w:rsidR="006473B2" w:rsidRPr="0029717F">
        <w:t xml:space="preserve"> </w:t>
      </w:r>
      <w:r w:rsidRPr="0029717F">
        <w:t xml:space="preserve">сохраняется </w:t>
      </w:r>
      <w:r w:rsidR="00BD111F" w:rsidRPr="0029717F">
        <w:t>общероссийская тенденция снижения покупательной способности и покупательской активности населения</w:t>
      </w:r>
      <w:r w:rsidR="006473B2" w:rsidRPr="0029717F">
        <w:t>, сокращается розничное кредитование</w:t>
      </w:r>
      <w:r w:rsidR="00BD111F" w:rsidRPr="0029717F">
        <w:t xml:space="preserve">. </w:t>
      </w:r>
      <w:r w:rsidR="00E26BEC" w:rsidRPr="0029717F">
        <w:rPr>
          <w:szCs w:val="28"/>
        </w:rPr>
        <w:t>С</w:t>
      </w:r>
      <w:r w:rsidR="00DA3976" w:rsidRPr="0029717F">
        <w:rPr>
          <w:szCs w:val="28"/>
        </w:rPr>
        <w:t> </w:t>
      </w:r>
      <w:r w:rsidR="00E26BEC" w:rsidRPr="0029717F">
        <w:rPr>
          <w:szCs w:val="28"/>
        </w:rPr>
        <w:t>начала 2015 года наблюдается рост задолженности по кредитам</w:t>
      </w:r>
      <w:r w:rsidR="00D22FA0" w:rsidRPr="0029717F">
        <w:rPr>
          <w:szCs w:val="28"/>
        </w:rPr>
        <w:t xml:space="preserve"> (1</w:t>
      </w:r>
      <w:r w:rsidR="00D84F2D" w:rsidRPr="0029717F">
        <w:rPr>
          <w:szCs w:val="28"/>
        </w:rPr>
        <w:t>0</w:t>
      </w:r>
      <w:r w:rsidR="00D22FA0" w:rsidRPr="0029717F">
        <w:rPr>
          <w:szCs w:val="28"/>
        </w:rPr>
        <w:t>3</w:t>
      </w:r>
      <w:r w:rsidR="00D84F2D" w:rsidRPr="0029717F">
        <w:rPr>
          <w:szCs w:val="28"/>
        </w:rPr>
        <w:t>,9</w:t>
      </w:r>
      <w:r w:rsidR="00D22FA0" w:rsidRPr="0029717F">
        <w:rPr>
          <w:szCs w:val="28"/>
        </w:rPr>
        <w:t>% к январю-июню 2014 года), в том числе просроченной (</w:t>
      </w:r>
      <w:r w:rsidR="00D84F2D" w:rsidRPr="0029717F">
        <w:rPr>
          <w:szCs w:val="28"/>
        </w:rPr>
        <w:t>132,4%</w:t>
      </w:r>
      <w:r w:rsidR="00D22FA0" w:rsidRPr="0029717F">
        <w:rPr>
          <w:szCs w:val="28"/>
        </w:rPr>
        <w:t>),</w:t>
      </w:r>
      <w:r w:rsidR="00E26BEC" w:rsidRPr="0029717F">
        <w:rPr>
          <w:szCs w:val="28"/>
        </w:rPr>
        <w:t xml:space="preserve"> и снижение спроса на них </w:t>
      </w:r>
      <w:r w:rsidR="00D22FA0" w:rsidRPr="0029717F">
        <w:rPr>
          <w:szCs w:val="28"/>
        </w:rPr>
        <w:t>(62</w:t>
      </w:r>
      <w:r w:rsidR="00D84F2D" w:rsidRPr="0029717F">
        <w:rPr>
          <w:szCs w:val="28"/>
        </w:rPr>
        <w:t>,7</w:t>
      </w:r>
      <w:r w:rsidR="00D22FA0" w:rsidRPr="0029717F">
        <w:rPr>
          <w:szCs w:val="28"/>
        </w:rPr>
        <w:t xml:space="preserve">%) </w:t>
      </w:r>
      <w:r w:rsidR="00E26BEC" w:rsidRPr="0029717F">
        <w:rPr>
          <w:szCs w:val="28"/>
        </w:rPr>
        <w:t>на фоне прироста по вкладам физлиц</w:t>
      </w:r>
      <w:r w:rsidR="005852B2" w:rsidRPr="0029717F">
        <w:rPr>
          <w:szCs w:val="28"/>
        </w:rPr>
        <w:t xml:space="preserve"> (110,5%)</w:t>
      </w:r>
      <w:r w:rsidR="00E26BEC" w:rsidRPr="0029717F">
        <w:rPr>
          <w:szCs w:val="28"/>
        </w:rPr>
        <w:t xml:space="preserve">, </w:t>
      </w:r>
      <w:r w:rsidR="00AE4A50" w:rsidRPr="0029717F">
        <w:rPr>
          <w:szCs w:val="28"/>
        </w:rPr>
        <w:t xml:space="preserve">а также </w:t>
      </w:r>
      <w:r w:rsidR="00E26BEC" w:rsidRPr="0029717F">
        <w:rPr>
          <w:szCs w:val="28"/>
        </w:rPr>
        <w:lastRenderedPageBreak/>
        <w:t xml:space="preserve">опережающий рост расходов населения (129,7%) по сравнению с ростом доходов (126,2%). Рост потребительских расходов населения, доля которых в </w:t>
      </w:r>
      <w:r w:rsidR="006D1062" w:rsidRPr="0029717F">
        <w:rPr>
          <w:szCs w:val="28"/>
        </w:rPr>
        <w:t xml:space="preserve">общей сумме расходов населения в </w:t>
      </w:r>
      <w:r w:rsidR="00E26BEC" w:rsidRPr="0029717F">
        <w:rPr>
          <w:szCs w:val="28"/>
        </w:rPr>
        <w:t xml:space="preserve">первом полугодии 2015 года </w:t>
      </w:r>
      <w:r w:rsidR="003C4CC9" w:rsidRPr="0029717F">
        <w:rPr>
          <w:szCs w:val="28"/>
        </w:rPr>
        <w:t>сократилась до 73,7</w:t>
      </w:r>
      <w:r w:rsidR="006D1062" w:rsidRPr="0029717F">
        <w:rPr>
          <w:szCs w:val="28"/>
        </w:rPr>
        <w:t>%</w:t>
      </w:r>
      <w:r w:rsidR="00E26BEC" w:rsidRPr="0029717F">
        <w:rPr>
          <w:szCs w:val="28"/>
        </w:rPr>
        <w:t xml:space="preserve"> с </w:t>
      </w:r>
      <w:r w:rsidR="006D1062" w:rsidRPr="0029717F">
        <w:rPr>
          <w:szCs w:val="28"/>
        </w:rPr>
        <w:t xml:space="preserve">80,1% </w:t>
      </w:r>
      <w:r w:rsidR="00AE4A50" w:rsidRPr="0029717F">
        <w:rPr>
          <w:szCs w:val="28"/>
        </w:rPr>
        <w:t>в аналогичном периоде</w:t>
      </w:r>
      <w:r w:rsidR="00DA3976" w:rsidRPr="0029717F">
        <w:rPr>
          <w:szCs w:val="28"/>
        </w:rPr>
        <w:t xml:space="preserve"> </w:t>
      </w:r>
      <w:r w:rsidR="006D1062" w:rsidRPr="0029717F">
        <w:rPr>
          <w:szCs w:val="28"/>
        </w:rPr>
        <w:t xml:space="preserve">2014 года, </w:t>
      </w:r>
      <w:r w:rsidR="00E26BEC" w:rsidRPr="0029717F">
        <w:rPr>
          <w:szCs w:val="28"/>
        </w:rPr>
        <w:t xml:space="preserve">в январе-июне 2015 года составил </w:t>
      </w:r>
      <w:r w:rsidR="00643355" w:rsidRPr="0029717F">
        <w:rPr>
          <w:szCs w:val="28"/>
        </w:rPr>
        <w:t>100,7</w:t>
      </w:r>
      <w:r w:rsidR="00E26BEC" w:rsidRPr="0029717F">
        <w:rPr>
          <w:szCs w:val="28"/>
        </w:rPr>
        <w:t xml:space="preserve">% к январю-июню 2014 года, </w:t>
      </w:r>
      <w:r w:rsidR="002533DE" w:rsidRPr="0029717F">
        <w:rPr>
          <w:szCs w:val="28"/>
        </w:rPr>
        <w:t xml:space="preserve">в том числе на покупку товаров </w:t>
      </w:r>
      <w:r w:rsidR="00643355" w:rsidRPr="0029717F">
        <w:rPr>
          <w:szCs w:val="28"/>
        </w:rPr>
        <w:t>–</w:t>
      </w:r>
      <w:r w:rsidR="00E26BEC" w:rsidRPr="0029717F">
        <w:rPr>
          <w:szCs w:val="28"/>
        </w:rPr>
        <w:t xml:space="preserve"> 1</w:t>
      </w:r>
      <w:r w:rsidR="00643355" w:rsidRPr="0029717F">
        <w:rPr>
          <w:szCs w:val="28"/>
        </w:rPr>
        <w:t>0</w:t>
      </w:r>
      <w:r w:rsidR="00E26BEC" w:rsidRPr="0029717F">
        <w:rPr>
          <w:szCs w:val="28"/>
        </w:rPr>
        <w:t>1</w:t>
      </w:r>
      <w:r w:rsidR="00643355" w:rsidRPr="0029717F">
        <w:rPr>
          <w:szCs w:val="28"/>
        </w:rPr>
        <w:t>,1</w:t>
      </w:r>
      <w:r w:rsidR="00E26BEC" w:rsidRPr="0029717F">
        <w:rPr>
          <w:szCs w:val="28"/>
        </w:rPr>
        <w:t xml:space="preserve">%, на оплату услуг </w:t>
      </w:r>
      <w:r w:rsidR="003C4CC9" w:rsidRPr="0029717F">
        <w:rPr>
          <w:szCs w:val="28"/>
        </w:rPr>
        <w:t>–</w:t>
      </w:r>
      <w:r w:rsidR="002533DE" w:rsidRPr="0029717F">
        <w:rPr>
          <w:szCs w:val="28"/>
        </w:rPr>
        <w:t xml:space="preserve"> </w:t>
      </w:r>
      <w:r w:rsidR="00E26BEC" w:rsidRPr="0029717F">
        <w:rPr>
          <w:szCs w:val="28"/>
        </w:rPr>
        <w:t>1</w:t>
      </w:r>
      <w:r w:rsidR="003C4CC9" w:rsidRPr="0029717F">
        <w:rPr>
          <w:szCs w:val="28"/>
        </w:rPr>
        <w:t>03,4</w:t>
      </w:r>
      <w:r w:rsidR="00E26BEC" w:rsidRPr="0029717F">
        <w:rPr>
          <w:szCs w:val="28"/>
        </w:rPr>
        <w:t>%.</w:t>
      </w:r>
    </w:p>
    <w:p w:rsidR="006473B2" w:rsidRPr="0029717F" w:rsidRDefault="00DA3976" w:rsidP="006473B2">
      <w:pPr>
        <w:widowControl w:val="0"/>
        <w:overflowPunct w:val="0"/>
        <w:autoSpaceDE w:val="0"/>
        <w:autoSpaceDN w:val="0"/>
        <w:adjustRightInd w:val="0"/>
        <w:spacing w:line="230" w:lineRule="auto"/>
        <w:ind w:left="120" w:right="100" w:firstLine="600"/>
        <w:jc w:val="both"/>
      </w:pPr>
      <w:r w:rsidRPr="0029717F">
        <w:t xml:space="preserve">Наиболее высокие темпы роста цен на потребительском рынке в первом полугодии 2015 года отмечены на продовольственные и непродовольственные товары, индексы потребительских цен на которые составили 123,43% и 113,3% соответственно. </w:t>
      </w:r>
      <w:r w:rsidR="00BD111F" w:rsidRPr="0029717F">
        <w:t>Оборот розничной торговли в первом полугодии 2015 года в сопоставимых ценах составил 82,5% к аналогичному периоду прошлого года</w:t>
      </w:r>
      <w:r w:rsidR="006473B2" w:rsidRPr="0029717F">
        <w:t>, главным образом за счет непродовольственных товаров</w:t>
      </w:r>
      <w:r w:rsidR="00BD111F" w:rsidRPr="0029717F">
        <w:t xml:space="preserve">. </w:t>
      </w:r>
      <w:r w:rsidR="006473B2" w:rsidRPr="0029717F">
        <w:t>Оборот розничной торговли пищевыми продуктами, включая напитки, и табачными изделиями составил 93,4% к уровню аналогичного периода прошлого года, непродовольственными товарами - 73,9%. При этом отмечен рост реализации автомобильных деталей, узлов и принадлежностей (на 6,4%), мобильных телефонов (на 10,6%), товаров, проданных через информационно-телекоммуникационную сеть «Интернет» (на 65,9%).</w:t>
      </w:r>
    </w:p>
    <w:p w:rsidR="003C1159" w:rsidRPr="0029717F" w:rsidRDefault="00DA3976" w:rsidP="003C1159">
      <w:pPr>
        <w:widowControl w:val="0"/>
        <w:overflowPunct w:val="0"/>
        <w:autoSpaceDE w:val="0"/>
        <w:autoSpaceDN w:val="0"/>
        <w:adjustRightInd w:val="0"/>
        <w:spacing w:line="230" w:lineRule="auto"/>
        <w:ind w:left="120" w:right="100" w:firstLine="600"/>
        <w:jc w:val="both"/>
      </w:pPr>
      <w:r w:rsidRPr="0029717F">
        <w:t xml:space="preserve">Одновременно в отчетном периоде сохранился спрос на продукцию общественного питания и платные услуги, объем которых в действующих ценах составил 117,4% к январю-июню 2014 года, включая услуги связи (137,1%), коммунальные услуги (132,9%), услуги учреждений культуры (133,8%), физической культуры и спорта (131,4%), медицинские услуги (109,6%), санаторно-оздоровительные услуги (119,8%), ветеринарные услуги (186,3%). </w:t>
      </w:r>
      <w:r w:rsidR="003C1159" w:rsidRPr="0029717F">
        <w:t>Объем предоставленных персональных услуг в действующих ценах составил 1</w:t>
      </w:r>
      <w:r w:rsidR="000438E6" w:rsidRPr="0029717F">
        <w:t>22</w:t>
      </w:r>
      <w:r w:rsidR="003C1159" w:rsidRPr="0029717F">
        <w:t>,</w:t>
      </w:r>
      <w:r w:rsidR="000438E6" w:rsidRPr="0029717F">
        <w:t>3</w:t>
      </w:r>
      <w:r w:rsidR="003C1159" w:rsidRPr="0029717F">
        <w:t xml:space="preserve">% к январю-июню 2014 года. </w:t>
      </w:r>
      <w:r w:rsidR="00302463" w:rsidRPr="0029717F">
        <w:t>Прибыль организаций по виду деятельности «Предоставление прочих коммунальных, социальных и персональных услуг» в первом полугодии возросла на 24,2%, обеспечив рост сальдированного финансового результата на 14%.</w:t>
      </w:r>
    </w:p>
    <w:p w:rsidR="001C40E4" w:rsidRPr="0029717F" w:rsidRDefault="00AE4A50" w:rsidP="00DA3976">
      <w:pPr>
        <w:ind w:firstLine="567"/>
        <w:jc w:val="both"/>
      </w:pPr>
      <w:proofErr w:type="gramStart"/>
      <w:r w:rsidRPr="0029717F">
        <w:t>Высокий индекс потребительских цен (115,53%) в первом полугодии 2015 года, с</w:t>
      </w:r>
      <w:r w:rsidR="00DA3976" w:rsidRPr="0029717F">
        <w:t xml:space="preserve">нижение реальной заработной платы (91,5% к январю-июню 2014 года), рост размера задолженности по заработной плате в организациях города (по официальным данным только двух организаций в 3,3 раза) </w:t>
      </w:r>
      <w:r w:rsidR="00CA71A4" w:rsidRPr="0029717F">
        <w:t xml:space="preserve">в условиях динамичного роста просроченной дебиторской и кредиторской задолженности предприятий </w:t>
      </w:r>
      <w:r w:rsidR="007C60AF" w:rsidRPr="0029717F">
        <w:t xml:space="preserve">останутся сдерживающими факторами развития потребительского рынка в 2015 году. </w:t>
      </w:r>
      <w:proofErr w:type="gramEnd"/>
    </w:p>
    <w:p w:rsidR="007C60AF" w:rsidRPr="0029717F" w:rsidRDefault="007C60AF" w:rsidP="00DA3976">
      <w:pPr>
        <w:ind w:firstLine="567"/>
        <w:jc w:val="both"/>
      </w:pPr>
      <w:r w:rsidRPr="0029717F">
        <w:t xml:space="preserve">Ожидается, что по итогам года благодаря увеличению численности населения города Мурманска и вводу ряда крупных торговых объектов («Мурманск </w:t>
      </w:r>
      <w:proofErr w:type="spellStart"/>
      <w:r w:rsidRPr="0029717F">
        <w:t>Молл</w:t>
      </w:r>
      <w:proofErr w:type="spellEnd"/>
      <w:r w:rsidRPr="0029717F">
        <w:t>», «Лента», «</w:t>
      </w:r>
      <w:proofErr w:type="spellStart"/>
      <w:r w:rsidRPr="0029717F">
        <w:t>Лексус</w:t>
      </w:r>
      <w:proofErr w:type="spellEnd"/>
      <w:r w:rsidRPr="0029717F">
        <w:t xml:space="preserve"> Центр Мурманск»</w:t>
      </w:r>
      <w:r w:rsidR="005D3B86" w:rsidRPr="0029717F">
        <w:t>, «Тойота Центр Мурманск»</w:t>
      </w:r>
      <w:r w:rsidRPr="0029717F">
        <w:t>) оборот розничной торговли в сопоставимых ценах снизится менее резкими темпами, составив 94,2% к 2014 году.</w:t>
      </w:r>
      <w:r w:rsidR="006A3504" w:rsidRPr="0029717F">
        <w:t xml:space="preserve"> </w:t>
      </w:r>
      <w:proofErr w:type="gramStart"/>
      <w:r w:rsidR="006A3504" w:rsidRPr="0029717F">
        <w:t>Одновременно благодаря устойчивому спросу на продукцию общественного питания</w:t>
      </w:r>
      <w:r w:rsidR="003C1159" w:rsidRPr="0029717F">
        <w:t xml:space="preserve">, персональные услуги и </w:t>
      </w:r>
      <w:r w:rsidR="006A3504" w:rsidRPr="0029717F">
        <w:t>услуги развлекательного характера</w:t>
      </w:r>
      <w:r w:rsidR="00FA108A" w:rsidRPr="0029717F">
        <w:t xml:space="preserve"> со стороны жителей </w:t>
      </w:r>
      <w:r w:rsidR="003C1159" w:rsidRPr="0029717F">
        <w:t>города и области,</w:t>
      </w:r>
      <w:r w:rsidR="00FA108A" w:rsidRPr="0029717F">
        <w:t xml:space="preserve"> растущего потока туристов</w:t>
      </w:r>
      <w:r w:rsidR="006A3504" w:rsidRPr="0029717F">
        <w:t xml:space="preserve">, а также вводу </w:t>
      </w:r>
      <w:r w:rsidR="00FA108A" w:rsidRPr="0029717F">
        <w:t>новых торговых и спортивных объектов (</w:t>
      </w:r>
      <w:r w:rsidR="003C1159" w:rsidRPr="0029717F">
        <w:t xml:space="preserve">кинотеатр «Северное сияние» и объекты общественного </w:t>
      </w:r>
      <w:r w:rsidR="003C1159" w:rsidRPr="0029717F">
        <w:lastRenderedPageBreak/>
        <w:t>питания в ТРК «</w:t>
      </w:r>
      <w:r w:rsidR="00EB41C9" w:rsidRPr="0029717F">
        <w:t>Мурманск</w:t>
      </w:r>
      <w:r w:rsidR="003C1159" w:rsidRPr="0029717F">
        <w:t xml:space="preserve"> </w:t>
      </w:r>
      <w:proofErr w:type="spellStart"/>
      <w:r w:rsidR="003C1159" w:rsidRPr="0029717F">
        <w:t>Молл</w:t>
      </w:r>
      <w:proofErr w:type="spellEnd"/>
      <w:r w:rsidR="003C1159" w:rsidRPr="0029717F">
        <w:t xml:space="preserve">», </w:t>
      </w:r>
      <w:r w:rsidR="006A3504" w:rsidRPr="0029717F">
        <w:t>«Макдональдс» по пр.</w:t>
      </w:r>
      <w:proofErr w:type="gramEnd"/>
      <w:r w:rsidR="006A3504" w:rsidRPr="0029717F">
        <w:t xml:space="preserve"> </w:t>
      </w:r>
      <w:proofErr w:type="gramStart"/>
      <w:r w:rsidR="006A3504" w:rsidRPr="0029717F">
        <w:t>Кольскому, легкоатлетическ</w:t>
      </w:r>
      <w:r w:rsidR="00FA108A" w:rsidRPr="0029717F">
        <w:t>ий манеж)</w:t>
      </w:r>
      <w:r w:rsidR="006A3504" w:rsidRPr="0029717F">
        <w:t xml:space="preserve"> </w:t>
      </w:r>
      <w:r w:rsidR="001C40E4" w:rsidRPr="0029717F">
        <w:t xml:space="preserve">к концу 2015 года </w:t>
      </w:r>
      <w:r w:rsidR="006A3504" w:rsidRPr="0029717F">
        <w:t xml:space="preserve">ожидается увеличение </w:t>
      </w:r>
      <w:r w:rsidR="00FA108A" w:rsidRPr="0029717F">
        <w:t>физического объема оборота общественного питания (102,03%) и платных услуг (105,14%).</w:t>
      </w:r>
      <w:proofErr w:type="gramEnd"/>
    </w:p>
    <w:p w:rsidR="008552CA" w:rsidRPr="00AE0674" w:rsidRDefault="008552CA" w:rsidP="008552CA">
      <w:pPr>
        <w:pStyle w:val="1"/>
        <w:keepNext w:val="0"/>
        <w:widowControl w:val="0"/>
        <w:spacing w:before="120"/>
        <w:rPr>
          <w:caps w:val="0"/>
          <w:kern w:val="32"/>
          <w:sz w:val="28"/>
          <w:szCs w:val="28"/>
        </w:rPr>
      </w:pPr>
      <w:r w:rsidRPr="00AE0674">
        <w:rPr>
          <w:caps w:val="0"/>
          <w:kern w:val="32"/>
          <w:sz w:val="28"/>
          <w:szCs w:val="28"/>
        </w:rPr>
        <w:t>Инвестиции и строительство</w:t>
      </w:r>
    </w:p>
    <w:p w:rsidR="00F51359" w:rsidRPr="0029717F" w:rsidRDefault="00653FF9" w:rsidP="00F51359">
      <w:pPr>
        <w:ind w:firstLine="567"/>
        <w:jc w:val="both"/>
      </w:pPr>
      <w:proofErr w:type="gramStart"/>
      <w:r w:rsidRPr="0029717F">
        <w:t>Объем инвестиций в январе-июне 2015 года в сопоставимых ценах (с учетом индекса-дефлятора инвестиций в основной капитал по Мурманской области) сократился почти на треть до 6 млрд. рублей, составив 69,5% к аналогичному периоду 2014 года</w:t>
      </w:r>
      <w:r w:rsidR="00F51359" w:rsidRPr="0029717F">
        <w:t>, из-за снижения кредитов в 25 раз</w:t>
      </w:r>
      <w:r w:rsidRPr="0029717F">
        <w:t xml:space="preserve"> </w:t>
      </w:r>
      <w:r w:rsidR="00F51359" w:rsidRPr="0029717F">
        <w:t>с увеличением ключевой ставки Центробанка с 10,5% до 17% в декабре 2014 года.</w:t>
      </w:r>
      <w:proofErr w:type="gramEnd"/>
      <w:r w:rsidR="00F51359" w:rsidRPr="0029717F">
        <w:t xml:space="preserve"> Объем задолженности по кредитам хозяйствующим субъектам (юридическим и физическим лицам, индивидуальным предпринимателям) на 01.07.2015 сократился лишь на 3,8% к началу 2015 года. Уровень просроченной составляющей сложился в размере 6,3%, увеличившись за январь-июнь на 1,4</w:t>
      </w:r>
      <w:r w:rsidR="009A3AF2" w:rsidRPr="0029717F">
        <w:t xml:space="preserve"> п.п.</w:t>
      </w:r>
    </w:p>
    <w:p w:rsidR="00F23736" w:rsidRPr="0029717F" w:rsidRDefault="00C2333D" w:rsidP="00653FF9">
      <w:pPr>
        <w:ind w:firstLine="567"/>
        <w:jc w:val="both"/>
      </w:pPr>
      <w:r w:rsidRPr="0029717F">
        <w:t>Более половины инвестиций (58,1%) организации вложили в машины и оборудование</w:t>
      </w:r>
      <w:r w:rsidR="00AE0674">
        <w:t>,</w:t>
      </w:r>
      <w:r w:rsidRPr="0029717F">
        <w:t xml:space="preserve"> и их доля в общем объеме инвестиций в 2015 году сохраняет тенденцию к росту, более трети объема инвестиций (36,7%) вложено в здания и сооружения.</w:t>
      </w:r>
      <w:r w:rsidR="005E7406" w:rsidRPr="0029717F">
        <w:t xml:space="preserve"> </w:t>
      </w:r>
    </w:p>
    <w:p w:rsidR="005E7406" w:rsidRPr="0029717F" w:rsidRDefault="005E7406" w:rsidP="00653FF9">
      <w:pPr>
        <w:ind w:firstLine="567"/>
        <w:jc w:val="both"/>
      </w:pPr>
      <w:proofErr w:type="gramStart"/>
      <w:r w:rsidRPr="0029717F">
        <w:t xml:space="preserve">Наиболее высокие темпы роста инвестиций в первом полугодии 2015 года отмечены в строительстве (в 134,7 раза) благодаря увеличению финансирования за счет федерального бюджета (в 353 раза), в </w:t>
      </w:r>
      <w:proofErr w:type="spellStart"/>
      <w:r w:rsidRPr="0029717F">
        <w:t>гостинично-ресторанном</w:t>
      </w:r>
      <w:proofErr w:type="spellEnd"/>
      <w:r w:rsidRPr="0029717F">
        <w:t xml:space="preserve"> бизнесе (в 25,8 раз)</w:t>
      </w:r>
      <w:r w:rsidR="00931A8D" w:rsidRPr="0029717F">
        <w:t xml:space="preserve"> за счет собственных средств, в торговле (в 3,8 раза) за счет собственных и кредитных средств, в </w:t>
      </w:r>
      <w:proofErr w:type="spellStart"/>
      <w:r w:rsidR="00931A8D" w:rsidRPr="0029717F">
        <w:t>рыбоперерабатывающей</w:t>
      </w:r>
      <w:proofErr w:type="spellEnd"/>
      <w:r w:rsidR="00931A8D" w:rsidRPr="0029717F">
        <w:t xml:space="preserve"> промышленности (в 4,3 раза) за счет собственных средств. </w:t>
      </w:r>
      <w:proofErr w:type="gramEnd"/>
    </w:p>
    <w:p w:rsidR="00110C62" w:rsidRPr="0029717F" w:rsidRDefault="003B70E2" w:rsidP="003B70E2">
      <w:pPr>
        <w:ind w:firstLine="567"/>
        <w:jc w:val="both"/>
      </w:pPr>
      <w:r w:rsidRPr="0029717F">
        <w:t xml:space="preserve">В структуре источников финансирования в первом полугодии 2015 года преобладают собственные средства (51% против 46% в аналогичном периоде 2014 года), из привлечённых средств - бюджетные средства (33% инвестиций против 27%) за счет федерального бюджета (26% против 19%). </w:t>
      </w:r>
      <w:proofErr w:type="gramStart"/>
      <w:r w:rsidR="008F79E7" w:rsidRPr="0029717F">
        <w:t xml:space="preserve">В </w:t>
      </w:r>
      <w:r w:rsidR="00F23736" w:rsidRPr="0029717F">
        <w:t xml:space="preserve">первом полугодии 2015 года </w:t>
      </w:r>
      <w:r w:rsidR="008F79E7" w:rsidRPr="0029717F">
        <w:t>увеличилось финансирование капиталовложений за счет бюджетных средств (102,96% к январю-июню 2014 года), в т.ч. из федерального (115,4%) и местного бюджетов (114,5%)</w:t>
      </w:r>
      <w:r w:rsidR="00364A4E" w:rsidRPr="0029717F">
        <w:t xml:space="preserve"> в сферах </w:t>
      </w:r>
      <w:r w:rsidR="005064BA" w:rsidRPr="0029717F">
        <w:t xml:space="preserve">научных исследований и разработок, деятельности, связанной с использованием вычислительной техники и информационных технологий, по организации отдыха и развлечений, культуры и  спорта, </w:t>
      </w:r>
      <w:proofErr w:type="spellStart"/>
      <w:r w:rsidR="005064BA" w:rsidRPr="0029717F">
        <w:t>госуправления</w:t>
      </w:r>
      <w:proofErr w:type="spellEnd"/>
      <w:r w:rsidR="005064BA" w:rsidRPr="0029717F">
        <w:t>, образования, заемных средств других организаций (в 3 раза) в</w:t>
      </w:r>
      <w:proofErr w:type="gramEnd"/>
      <w:r w:rsidR="005064BA" w:rsidRPr="0029717F">
        <w:t xml:space="preserve"> сфере предоставления </w:t>
      </w:r>
      <w:r w:rsidR="00110C62" w:rsidRPr="0029717F">
        <w:t>прочих услуг</w:t>
      </w:r>
      <w:r w:rsidR="008F79E7" w:rsidRPr="0029717F">
        <w:t>, а также из прочих источников (145,1%), главным образом за счёт средств вышестоящих организаций (147%)</w:t>
      </w:r>
      <w:r w:rsidR="00364A4E" w:rsidRPr="0029717F">
        <w:t xml:space="preserve"> в сферах транспорта и связи, финансовой деятельности</w:t>
      </w:r>
      <w:r w:rsidR="00B93DEF" w:rsidRPr="0029717F">
        <w:t>,</w:t>
      </w:r>
      <w:r w:rsidR="00364A4E" w:rsidRPr="0029717F">
        <w:t xml:space="preserve"> предоставления прочих услуг, здравоохранения</w:t>
      </w:r>
      <w:r w:rsidR="008F79E7" w:rsidRPr="0029717F">
        <w:t xml:space="preserve">. </w:t>
      </w:r>
    </w:p>
    <w:p w:rsidR="00B71EE0" w:rsidRPr="0029717F" w:rsidRDefault="008F79E7" w:rsidP="00653FF9">
      <w:pPr>
        <w:ind w:firstLine="567"/>
        <w:jc w:val="both"/>
      </w:pPr>
      <w:proofErr w:type="gramStart"/>
      <w:r w:rsidRPr="0029717F">
        <w:t>В структуре инвестиций по-прежнему наибольшая доля сохраняется за предприятиями транспорта и связи</w:t>
      </w:r>
      <w:r w:rsidR="00DC368B" w:rsidRPr="0029717F">
        <w:t xml:space="preserve">, которая в январе-июне 2015 года возросла </w:t>
      </w:r>
      <w:r w:rsidR="00960D6F" w:rsidRPr="0029717F">
        <w:t xml:space="preserve">с 35,3% в аналогичном периоде 2014 года </w:t>
      </w:r>
      <w:r w:rsidR="00DC368B" w:rsidRPr="0029717F">
        <w:t xml:space="preserve">до 39,2%, в сфере предоставления прочих услуг - </w:t>
      </w:r>
      <w:r w:rsidR="00EC5B9B" w:rsidRPr="0029717F">
        <w:t>с 17%</w:t>
      </w:r>
      <w:r w:rsidR="00EC5B9B">
        <w:t xml:space="preserve"> до </w:t>
      </w:r>
      <w:r w:rsidR="00DC368B" w:rsidRPr="0029717F">
        <w:t xml:space="preserve">19,2%, заметно возросла доля </w:t>
      </w:r>
      <w:r w:rsidR="005D1960" w:rsidRPr="0029717F">
        <w:t>инвестиций</w:t>
      </w:r>
      <w:r w:rsidR="00DC368B" w:rsidRPr="0029717F">
        <w:t xml:space="preserve"> предприятий </w:t>
      </w:r>
      <w:r w:rsidR="005D1960" w:rsidRPr="0029717F">
        <w:t>торговли</w:t>
      </w:r>
      <w:r w:rsidR="00DC368B" w:rsidRPr="0029717F">
        <w:t xml:space="preserve"> </w:t>
      </w:r>
      <w:r w:rsidR="003F04B9">
        <w:t xml:space="preserve">- </w:t>
      </w:r>
      <w:r w:rsidR="00EC5B9B" w:rsidRPr="0029717F">
        <w:t xml:space="preserve">с 2,1% </w:t>
      </w:r>
      <w:r w:rsidR="00DC368B" w:rsidRPr="0029717F">
        <w:t xml:space="preserve">до 9,7% и производства и </w:t>
      </w:r>
      <w:r w:rsidR="005D1960" w:rsidRPr="0029717F">
        <w:t>распределения</w:t>
      </w:r>
      <w:r w:rsidR="00DC368B" w:rsidRPr="0029717F">
        <w:t xml:space="preserve"> </w:t>
      </w:r>
      <w:r w:rsidR="005D1960" w:rsidRPr="0029717F">
        <w:t xml:space="preserve">электроэнергии, газа и воды </w:t>
      </w:r>
      <w:r w:rsidR="003F04B9">
        <w:t xml:space="preserve">- </w:t>
      </w:r>
      <w:r w:rsidR="00EC5B9B" w:rsidRPr="0029717F">
        <w:t>с 3,6%</w:t>
      </w:r>
      <w:r w:rsidR="00EC5B9B">
        <w:t xml:space="preserve"> </w:t>
      </w:r>
      <w:r w:rsidR="005D1960" w:rsidRPr="0029717F">
        <w:t>до 6,6%, сохраняется доля</w:t>
      </w:r>
      <w:proofErr w:type="gramEnd"/>
      <w:r w:rsidR="005D1960" w:rsidRPr="0029717F">
        <w:t xml:space="preserve"> предприятий рыболовства, рыбоводства - 8,52% против 8,25% в первом полугодии 2014 года. </w:t>
      </w:r>
      <w:r w:rsidR="0080087C" w:rsidRPr="0029717F">
        <w:t xml:space="preserve">С учётом </w:t>
      </w:r>
      <w:r w:rsidR="00E02724" w:rsidRPr="0029717F">
        <w:t>сокращения инвестиций предприятиями</w:t>
      </w:r>
      <w:r w:rsidR="0080087C" w:rsidRPr="0029717F">
        <w:t xml:space="preserve"> </w:t>
      </w:r>
      <w:r w:rsidR="00D560DE" w:rsidRPr="0029717F">
        <w:t xml:space="preserve">города, завершением и приостановкой  реализации </w:t>
      </w:r>
      <w:r w:rsidR="00B71EE0" w:rsidRPr="0029717F">
        <w:t xml:space="preserve">инвестиционных проектов по итогам года ожидается снижение объема инвестиций </w:t>
      </w:r>
      <w:r w:rsidR="00956025" w:rsidRPr="0029717F">
        <w:t>за счет собственных и привлеченных средств с сокращением объема финансирования инвестиций из-за рубежа, кредитов, средств вышестоящих организаций</w:t>
      </w:r>
      <w:r w:rsidR="007D1B7D" w:rsidRPr="0029717F">
        <w:t xml:space="preserve"> и</w:t>
      </w:r>
      <w:r w:rsidR="00956025" w:rsidRPr="0029717F">
        <w:t xml:space="preserve"> областного</w:t>
      </w:r>
      <w:r w:rsidR="007D1B7D" w:rsidRPr="0029717F">
        <w:t xml:space="preserve"> бюджета</w:t>
      </w:r>
      <w:r w:rsidR="00956025" w:rsidRPr="0029717F">
        <w:t>.</w:t>
      </w:r>
      <w:r w:rsidR="00CF225F" w:rsidRPr="0029717F">
        <w:t xml:space="preserve"> Одновременно ожидается</w:t>
      </w:r>
      <w:r w:rsidR="00956025" w:rsidRPr="0029717F">
        <w:t xml:space="preserve"> </w:t>
      </w:r>
      <w:r w:rsidR="00CF225F" w:rsidRPr="0029717F">
        <w:t>у</w:t>
      </w:r>
      <w:r w:rsidR="00956025" w:rsidRPr="0029717F">
        <w:t>величение капиталовложений за счет заемных сре</w:t>
      </w:r>
      <w:proofErr w:type="gramStart"/>
      <w:r w:rsidR="00956025" w:rsidRPr="0029717F">
        <w:t>дств др</w:t>
      </w:r>
      <w:proofErr w:type="gramEnd"/>
      <w:r w:rsidR="00956025" w:rsidRPr="0029717F">
        <w:t xml:space="preserve">угих организаций и финансирования из федерального </w:t>
      </w:r>
      <w:r w:rsidR="007D1B7D" w:rsidRPr="0029717F">
        <w:t xml:space="preserve">и местного </w:t>
      </w:r>
      <w:r w:rsidR="00956025" w:rsidRPr="0029717F">
        <w:t>бюджета реализации проектов в рамках мероприятий по подготовке к празднованию 100-летия города Мурманска, развитию Мурманского транспортного узла.</w:t>
      </w:r>
    </w:p>
    <w:p w:rsidR="001D6F5E" w:rsidRPr="0029717F" w:rsidRDefault="006E6857" w:rsidP="006E6857">
      <w:pPr>
        <w:ind w:firstLine="567"/>
        <w:jc w:val="both"/>
      </w:pPr>
      <w:r w:rsidRPr="0029717F">
        <w:t xml:space="preserve">Объем работ строительного подряда на фоне многократного роста в январе-июне 2014 года с вводом достроенных объектов в первом полугодии 2015 года снизился в сопоставимых ценах на 29,4% до 1,5 млрд. рублей. Всего в первом полугодии 2015 года введено в эксплуатацию 24 объекта общей площадью 78,9 тыс. кв. м, в т. ч. 9 коммерческих, </w:t>
      </w:r>
      <w:r w:rsidR="00E516A0" w:rsidRPr="0029717F">
        <w:t xml:space="preserve">4 промышленных объекта, 2 административных </w:t>
      </w:r>
      <w:r w:rsidR="001159E3" w:rsidRPr="0029717F">
        <w:t xml:space="preserve">здания </w:t>
      </w:r>
      <w:r w:rsidR="00E516A0" w:rsidRPr="0029717F">
        <w:t xml:space="preserve">и </w:t>
      </w:r>
      <w:r w:rsidRPr="0029717F">
        <w:t xml:space="preserve">5 индивидуальных жилых домов. Благодаря вводу крупных объектов («Мурманск </w:t>
      </w:r>
      <w:proofErr w:type="spellStart"/>
      <w:r w:rsidRPr="0029717F">
        <w:t>Молл</w:t>
      </w:r>
      <w:proofErr w:type="spellEnd"/>
      <w:r w:rsidRPr="0029717F">
        <w:t>», «Лента», легкоатлетический манеж) объем введенных площадей увеличился к уровню аналогичного периода прошлого года в 8,7 раз до 78,9 тыс. кв. м.</w:t>
      </w:r>
      <w:r w:rsidR="00E516A0" w:rsidRPr="0029717F">
        <w:t xml:space="preserve"> </w:t>
      </w:r>
    </w:p>
    <w:p w:rsidR="001D6F5E" w:rsidRPr="0029717F" w:rsidRDefault="00E516A0" w:rsidP="006E6857">
      <w:pPr>
        <w:ind w:firstLine="567"/>
        <w:jc w:val="both"/>
      </w:pPr>
      <w:proofErr w:type="gramStart"/>
      <w:r w:rsidRPr="0029717F">
        <w:t>П</w:t>
      </w:r>
      <w:r w:rsidR="00B66292" w:rsidRPr="0029717F">
        <w:t>р</w:t>
      </w:r>
      <w:r w:rsidRPr="0029717F">
        <w:t>о</w:t>
      </w:r>
      <w:r w:rsidR="00B66292" w:rsidRPr="0029717F">
        <w:t xml:space="preserve">должаются строительные работы на спортивных объектах спорткомплекса «Долина Уюта», </w:t>
      </w:r>
      <w:r w:rsidR="001D6F5E" w:rsidRPr="0029717F">
        <w:t xml:space="preserve">по подготовке объектов социальной сферы и жилищно-коммунального хозяйства к отопительному сезону, </w:t>
      </w:r>
      <w:r w:rsidRPr="0029717F">
        <w:t>реконструкци</w:t>
      </w:r>
      <w:r w:rsidR="00B66292" w:rsidRPr="0029717F">
        <w:t>я</w:t>
      </w:r>
      <w:r w:rsidRPr="0029717F">
        <w:t xml:space="preserve"> спорткомплекса МАУ ГСЦ «Авангард», </w:t>
      </w:r>
      <w:r w:rsidR="001D6F5E" w:rsidRPr="0029717F">
        <w:t xml:space="preserve">спортивных площадок, находящихся на придомовых территориях по месту жительства граждан, областных учреждений культуры, </w:t>
      </w:r>
      <w:r w:rsidR="00B66292" w:rsidRPr="0029717F">
        <w:t>объектов портовой инфраструктуры второго грузового района Мурманского морского торгового порта, строительство</w:t>
      </w:r>
      <w:r w:rsidRPr="0029717F">
        <w:t xml:space="preserve"> </w:t>
      </w:r>
      <w:r w:rsidR="00B66292" w:rsidRPr="0029717F">
        <w:t xml:space="preserve">многоквартирных жилых домов в районе ул. </w:t>
      </w:r>
      <w:proofErr w:type="spellStart"/>
      <w:r w:rsidR="00B66292" w:rsidRPr="0029717F">
        <w:t>Генералова</w:t>
      </w:r>
      <w:proofErr w:type="spellEnd"/>
      <w:r w:rsidR="00B66292" w:rsidRPr="0029717F">
        <w:t xml:space="preserve"> и </w:t>
      </w:r>
      <w:r w:rsidR="001D6F5E" w:rsidRPr="0029717F">
        <w:t>пр.</w:t>
      </w:r>
      <w:proofErr w:type="gramEnd"/>
      <w:r w:rsidR="001D6F5E" w:rsidRPr="0029717F">
        <w:t xml:space="preserve"> Героев-Североморцев, благоустройство городских парков и скверов. </w:t>
      </w:r>
      <w:r w:rsidR="00C72B23">
        <w:t>В</w:t>
      </w:r>
      <w:r w:rsidR="00C72B23" w:rsidRPr="006A643A">
        <w:t xml:space="preserve"> рамках </w:t>
      </w:r>
      <w:proofErr w:type="gramStart"/>
      <w:r w:rsidR="00C72B23" w:rsidRPr="006A643A">
        <w:t>исполнения сводного краткосрочного плана реализации региональной программы капитального ремонта общего имущества</w:t>
      </w:r>
      <w:proofErr w:type="gramEnd"/>
      <w:r w:rsidR="00C72B23" w:rsidRPr="006A643A">
        <w:t xml:space="preserve"> в многоквартирных домах в Мурманской области на 2015 год</w:t>
      </w:r>
      <w:r w:rsidR="00C72B23">
        <w:t xml:space="preserve"> по заказу </w:t>
      </w:r>
      <w:r w:rsidR="00C72B23" w:rsidRPr="00C72B23">
        <w:t>некоммерческой организации</w:t>
      </w:r>
      <w:r w:rsidR="00C72B23" w:rsidRPr="006A643A">
        <w:t xml:space="preserve"> «Фонд капитального ремонта общего имущества в многоквартирных домах в Мурманской области»</w:t>
      </w:r>
      <w:r w:rsidR="00C72B23" w:rsidRPr="00C72B23">
        <w:t xml:space="preserve"> </w:t>
      </w:r>
      <w:r w:rsidR="00C72B23">
        <w:t xml:space="preserve">до конца 2015 года запланирован капитальный ремонт в 68 многоквартирных домах города. </w:t>
      </w:r>
      <w:proofErr w:type="gramStart"/>
      <w:r w:rsidR="00C72B23" w:rsidRPr="00C72B23">
        <w:t>Завершены</w:t>
      </w:r>
      <w:proofErr w:type="gramEnd"/>
      <w:r w:rsidR="00C72B23" w:rsidRPr="00C72B23">
        <w:t xml:space="preserve"> </w:t>
      </w:r>
      <w:r w:rsidR="00C72B23" w:rsidRPr="006A643A">
        <w:t xml:space="preserve">работы по капитальному ремонту в двух домах Абрам-Мыса. В здании по адресу пер. </w:t>
      </w:r>
      <w:proofErr w:type="gramStart"/>
      <w:r w:rsidR="00C72B23" w:rsidRPr="006A643A">
        <w:t>Охотничий</w:t>
      </w:r>
      <w:proofErr w:type="gramEnd"/>
      <w:r w:rsidR="00C72B23" w:rsidRPr="006A643A">
        <w:t>, 19 произведена замена инженерных сетей, на улице Лесная, д. 17 – отремонтирована крыша</w:t>
      </w:r>
      <w:r w:rsidR="00C72B23" w:rsidRPr="00C72B23">
        <w:t xml:space="preserve">. </w:t>
      </w:r>
    </w:p>
    <w:p w:rsidR="006E6857" w:rsidRPr="0029717F" w:rsidRDefault="001D6F5E" w:rsidP="006E6857">
      <w:pPr>
        <w:ind w:firstLine="567"/>
        <w:jc w:val="both"/>
      </w:pPr>
      <w:r w:rsidRPr="0029717F">
        <w:t>С учётом снижения финансирования на выполнение строительных работ по итогам 2015 года ожидается сокращение объема выполненных работ строительного подряда до 77% к 2014 году.</w:t>
      </w:r>
    </w:p>
    <w:p w:rsidR="008552CA" w:rsidRPr="00EC5B9B" w:rsidRDefault="008552CA" w:rsidP="008552CA">
      <w:pPr>
        <w:pStyle w:val="1"/>
        <w:keepNext w:val="0"/>
        <w:widowControl w:val="0"/>
        <w:spacing w:before="120"/>
        <w:rPr>
          <w:caps w:val="0"/>
          <w:kern w:val="32"/>
          <w:sz w:val="28"/>
          <w:szCs w:val="28"/>
        </w:rPr>
      </w:pPr>
      <w:r w:rsidRPr="00EC5B9B">
        <w:rPr>
          <w:caps w:val="0"/>
          <w:kern w:val="32"/>
          <w:sz w:val="28"/>
          <w:szCs w:val="28"/>
        </w:rPr>
        <w:t>Сальдированный финансовый результат (прибыль, убыток) деятельности крупных и средних предприятий</w:t>
      </w:r>
    </w:p>
    <w:p w:rsidR="00B01756" w:rsidRPr="0029717F" w:rsidRDefault="008552CA" w:rsidP="008552CA">
      <w:pPr>
        <w:ind w:firstLine="567"/>
        <w:jc w:val="both"/>
      </w:pPr>
      <w:r w:rsidRPr="0029717F">
        <w:t>По итогам первого полугодия 201</w:t>
      </w:r>
      <w:r w:rsidR="00C802A2" w:rsidRPr="0029717F">
        <w:t>5</w:t>
      </w:r>
      <w:r w:rsidRPr="0029717F">
        <w:t xml:space="preserve"> года сальдированный финансовый результат деятельности организаций города увеличился </w:t>
      </w:r>
      <w:r w:rsidR="00C802A2" w:rsidRPr="0029717F">
        <w:t xml:space="preserve">в 4 раза к январю-июню 2014 года </w:t>
      </w:r>
      <w:r w:rsidRPr="0029717F">
        <w:t xml:space="preserve">до </w:t>
      </w:r>
      <w:r w:rsidR="00C802A2" w:rsidRPr="0029717F">
        <w:t>12,3</w:t>
      </w:r>
      <w:r w:rsidRPr="0029717F">
        <w:t xml:space="preserve"> млрд. рублей благодаря увеличению прибыли предприятий в </w:t>
      </w:r>
      <w:r w:rsidR="00C802A2" w:rsidRPr="0029717F">
        <w:t>2,4</w:t>
      </w:r>
      <w:r w:rsidRPr="0029717F">
        <w:t xml:space="preserve"> раза до </w:t>
      </w:r>
      <w:r w:rsidR="00C802A2" w:rsidRPr="0029717F">
        <w:t>13,4</w:t>
      </w:r>
      <w:r w:rsidRPr="0029717F">
        <w:t xml:space="preserve"> млрд. рублей</w:t>
      </w:r>
      <w:r w:rsidR="00C802A2" w:rsidRPr="0029717F">
        <w:t xml:space="preserve"> и снижению убытков в 2,2 раза до 1,1 млрд. рублей</w:t>
      </w:r>
      <w:r w:rsidRPr="0029717F">
        <w:t xml:space="preserve">. </w:t>
      </w:r>
      <w:r w:rsidR="00B01756" w:rsidRPr="0029717F">
        <w:t>Доля прибыльных предприятий возросла с 73% в аналогичном периоде 201</w:t>
      </w:r>
      <w:r w:rsidR="00EC5B9B">
        <w:t>4</w:t>
      </w:r>
      <w:r w:rsidR="00B01756" w:rsidRPr="0029717F">
        <w:t xml:space="preserve"> года</w:t>
      </w:r>
      <w:r w:rsidR="00EC5B9B" w:rsidRPr="00EC5B9B">
        <w:t xml:space="preserve"> </w:t>
      </w:r>
      <w:r w:rsidR="00EC5B9B" w:rsidRPr="0029717F">
        <w:t>до 76,3%</w:t>
      </w:r>
      <w:r w:rsidR="00B01756" w:rsidRPr="0029717F">
        <w:t xml:space="preserve">, в том числе в рыболовстве </w:t>
      </w:r>
      <w:r w:rsidR="002934AC">
        <w:t xml:space="preserve">- </w:t>
      </w:r>
      <w:r w:rsidR="00EC5B9B">
        <w:t>с 86,4%</w:t>
      </w:r>
      <w:r w:rsidR="00B01756" w:rsidRPr="0029717F">
        <w:t xml:space="preserve"> </w:t>
      </w:r>
      <w:r w:rsidR="00EC5B9B" w:rsidRPr="0029717F">
        <w:t>до 95,5%</w:t>
      </w:r>
      <w:r w:rsidR="00EC5B9B">
        <w:t>,</w:t>
      </w:r>
      <w:r w:rsidR="00EC5B9B" w:rsidRPr="0029717F">
        <w:t xml:space="preserve"> </w:t>
      </w:r>
      <w:r w:rsidR="00B01756" w:rsidRPr="0029717F">
        <w:t xml:space="preserve">обрабатывающих производствах </w:t>
      </w:r>
      <w:r w:rsidR="002934AC">
        <w:t xml:space="preserve">- </w:t>
      </w:r>
      <w:r w:rsidR="00EC5B9B" w:rsidRPr="0029717F">
        <w:t>с 54,5%</w:t>
      </w:r>
      <w:r w:rsidR="00EC5B9B">
        <w:t xml:space="preserve"> </w:t>
      </w:r>
      <w:r w:rsidR="00B01756" w:rsidRPr="0029717F">
        <w:t xml:space="preserve">до 72,7%, транспорте и связи </w:t>
      </w:r>
      <w:r w:rsidR="002934AC">
        <w:t xml:space="preserve">- </w:t>
      </w:r>
      <w:r w:rsidR="00EC5B9B" w:rsidRPr="0029717F">
        <w:t>с 61,5%</w:t>
      </w:r>
      <w:r w:rsidR="00EC5B9B">
        <w:t xml:space="preserve"> </w:t>
      </w:r>
      <w:r w:rsidR="00B01756" w:rsidRPr="0029717F">
        <w:t>до 84,6%, предоставлении прочих коммунальных, социальных и персональных услуг</w:t>
      </w:r>
      <w:r w:rsidR="00EC5B9B" w:rsidRPr="00EC5B9B">
        <w:t xml:space="preserve"> </w:t>
      </w:r>
      <w:r w:rsidR="002934AC">
        <w:t xml:space="preserve">- </w:t>
      </w:r>
      <w:r w:rsidR="00EC5B9B" w:rsidRPr="0029717F">
        <w:t>с 60%</w:t>
      </w:r>
      <w:r w:rsidR="00B01756" w:rsidRPr="0029717F">
        <w:t xml:space="preserve"> до 70%.</w:t>
      </w:r>
    </w:p>
    <w:p w:rsidR="0096712B" w:rsidRPr="0029717F" w:rsidRDefault="0096712B" w:rsidP="008552CA">
      <w:pPr>
        <w:ind w:firstLine="567"/>
        <w:jc w:val="both"/>
      </w:pPr>
      <w:proofErr w:type="gramStart"/>
      <w:r w:rsidRPr="0029717F">
        <w:t xml:space="preserve">Значительный рост </w:t>
      </w:r>
      <w:r w:rsidR="008552CA" w:rsidRPr="0029717F">
        <w:t>сальдированно</w:t>
      </w:r>
      <w:r w:rsidR="00C802A2" w:rsidRPr="0029717F">
        <w:t xml:space="preserve">го финансового результата в </w:t>
      </w:r>
      <w:r w:rsidRPr="0029717F">
        <w:t xml:space="preserve">январе-мае </w:t>
      </w:r>
      <w:r w:rsidR="00C802A2" w:rsidRPr="0029717F">
        <w:t>2015</w:t>
      </w:r>
      <w:r w:rsidRPr="0029717F">
        <w:t xml:space="preserve"> года</w:t>
      </w:r>
      <w:r w:rsidR="008552CA" w:rsidRPr="0029717F">
        <w:t xml:space="preserve"> </w:t>
      </w:r>
      <w:r w:rsidRPr="0029717F">
        <w:t>отмечен</w:t>
      </w:r>
      <w:r w:rsidR="008552CA" w:rsidRPr="0029717F">
        <w:t xml:space="preserve"> в сфере рыболовства, рыбоводства (в 3,5</w:t>
      </w:r>
      <w:r w:rsidRPr="0029717F">
        <w:t xml:space="preserve"> раза</w:t>
      </w:r>
      <w:r w:rsidR="008552CA" w:rsidRPr="0029717F">
        <w:t xml:space="preserve"> к аналогичному периоду 201</w:t>
      </w:r>
      <w:r w:rsidRPr="0029717F">
        <w:t>4</w:t>
      </w:r>
      <w:r w:rsidR="008552CA" w:rsidRPr="0029717F">
        <w:t xml:space="preserve"> года</w:t>
      </w:r>
      <w:r w:rsidRPr="0029717F">
        <w:t xml:space="preserve"> до 6,5 млрд. рублей</w:t>
      </w:r>
      <w:r w:rsidR="008552CA" w:rsidRPr="0029717F">
        <w:t xml:space="preserve">), </w:t>
      </w:r>
      <w:r w:rsidRPr="0029717F">
        <w:t>транспорта и связи (в 3 раза до 3,9 млрд. рублей)</w:t>
      </w:r>
      <w:r w:rsidR="0097603B" w:rsidRPr="0029717F">
        <w:t xml:space="preserve"> </w:t>
      </w:r>
      <w:r w:rsidRPr="0029717F">
        <w:t xml:space="preserve">и производства и распределения электроэнергии, газа и воды (в 2 </w:t>
      </w:r>
      <w:bookmarkStart w:id="0" w:name="_GoBack"/>
      <w:bookmarkEnd w:id="0"/>
      <w:r w:rsidRPr="0029717F">
        <w:t>раза до 1,5 млрд. рублей).</w:t>
      </w:r>
      <w:proofErr w:type="gramEnd"/>
      <w:r w:rsidRPr="0029717F">
        <w:t xml:space="preserve"> Размер прибыли предприятий рыболовства </w:t>
      </w:r>
      <w:r w:rsidR="00B01756" w:rsidRPr="0029717F">
        <w:t>рыбоводства</w:t>
      </w:r>
      <w:r w:rsidRPr="0029717F">
        <w:t xml:space="preserve"> увеличился в 3,2 раза</w:t>
      </w:r>
      <w:r w:rsidR="00B01756" w:rsidRPr="0029717F">
        <w:t>, транспорта и связи - в 3 раза при снижении убытков в 2,7 раза, производства и распределения электроэнергии, газа и воды - в 1,9 раза при снижении убытков в 3,2 раза.</w:t>
      </w:r>
      <w:r w:rsidR="0097603B" w:rsidRPr="0029717F">
        <w:t xml:space="preserve"> </w:t>
      </w:r>
    </w:p>
    <w:p w:rsidR="00567107" w:rsidRPr="0029717F" w:rsidRDefault="00567107" w:rsidP="008552CA">
      <w:pPr>
        <w:ind w:firstLine="567"/>
        <w:jc w:val="both"/>
      </w:pPr>
      <w:r w:rsidRPr="0029717F">
        <w:t xml:space="preserve">Низкие темпы роста прибыли и рост убытков в сферах </w:t>
      </w:r>
      <w:proofErr w:type="spellStart"/>
      <w:r w:rsidRPr="0029717F">
        <w:t>гостинично-ресторанного</w:t>
      </w:r>
      <w:proofErr w:type="spellEnd"/>
      <w:r w:rsidRPr="0029717F">
        <w:t xml:space="preserve"> бизнеса (в 4,7 раза) и оптовой и розничной торговли, ремонта  автотранспортных средств, мотоциклов, бытовых изделий и предметов личного пользования (в 3,3 раза) не позволили организациям данного вида деятельности увеличить сальдированный финансовый результат.  </w:t>
      </w:r>
      <w:proofErr w:type="gramStart"/>
      <w:r w:rsidRPr="0029717F">
        <w:t xml:space="preserve">Отрицательный сальдированный финансовый результат в январе-мае 2015 года сложился в сфере строительства </w:t>
      </w:r>
      <w:r w:rsidR="00B01756" w:rsidRPr="0029717F">
        <w:t xml:space="preserve">из-за </w:t>
      </w:r>
      <w:r w:rsidRPr="0029717F">
        <w:t xml:space="preserve">снижения прибыли организаций в 12,5 раз и роста убытков в 3,7 раза, в сфере </w:t>
      </w:r>
      <w:r w:rsidR="00B01756" w:rsidRPr="0029717F">
        <w:t>операций</w:t>
      </w:r>
      <w:r w:rsidRPr="0029717F">
        <w:t xml:space="preserve"> с недвиж</w:t>
      </w:r>
      <w:r w:rsidR="00B01756" w:rsidRPr="0029717F">
        <w:t>имым имуществом и предоставления</w:t>
      </w:r>
      <w:r w:rsidRPr="0029717F">
        <w:t xml:space="preserve"> прочих коммунальных и персональных услуг</w:t>
      </w:r>
      <w:r w:rsidR="00B01756" w:rsidRPr="0029717F">
        <w:t xml:space="preserve"> с сокращением прибыли в 2,2 раза, а также обрабатывающих производств из-за сокращения прибыли в 1,8 раза.</w:t>
      </w:r>
      <w:proofErr w:type="gramEnd"/>
    </w:p>
    <w:p w:rsidR="007404F4" w:rsidRPr="0029717F" w:rsidRDefault="0001490E" w:rsidP="00CA71A4">
      <w:pPr>
        <w:ind w:firstLine="567"/>
        <w:jc w:val="both"/>
      </w:pPr>
      <w:r w:rsidRPr="0029717F">
        <w:t>Рост дебиторской задолженности организаций (128,2% к январю-маю 2015 года) значительно опережает темпы роста их кредиторской задолженности (106%), на фоне высокого роста просроченной дебиторской задолженности (135,4%) отмечено снижение просроченной кредиторской задолженности поставщикам (75,6%), заметно сократившее общий размер кредиторской задолженности организаций.</w:t>
      </w:r>
      <w:r w:rsidR="00CA71A4" w:rsidRPr="0029717F">
        <w:t xml:space="preserve"> В условиях динамичного роста дебиторской задолженности, в т.ч. просроченной, и просроченной кредиторской задолженности в бюджеты всех уровней (140%) и во внебюджетные фонды (136%) растет вероятность замедления оборачиваемости средств и соответственно уменьшения отдачи от их использования, повышает</w:t>
      </w:r>
      <w:r w:rsidR="00BE2472" w:rsidRPr="0029717F">
        <w:t>ся</w:t>
      </w:r>
      <w:r w:rsidR="00CA71A4" w:rsidRPr="0029717F">
        <w:t xml:space="preserve"> риск возникновения дефицита денежных средств, сопровождающийся необходимостью привлечения дополнительных источников финансирования.</w:t>
      </w:r>
      <w:r w:rsidR="00BE2472" w:rsidRPr="0029717F">
        <w:t xml:space="preserve"> </w:t>
      </w:r>
    </w:p>
    <w:p w:rsidR="00CA71A4" w:rsidRPr="0029717F" w:rsidRDefault="00BE2472" w:rsidP="00CA71A4">
      <w:pPr>
        <w:ind w:firstLine="567"/>
        <w:jc w:val="both"/>
      </w:pPr>
      <w:proofErr w:type="gramStart"/>
      <w:r w:rsidRPr="0029717F">
        <w:t xml:space="preserve">Ожидается, что по итогам 2015 года сальдированный финансовый результат </w:t>
      </w:r>
      <w:r w:rsidR="006F37F0" w:rsidRPr="0029717F">
        <w:t xml:space="preserve">по оценочным данным </w:t>
      </w:r>
      <w:r w:rsidRPr="0029717F">
        <w:t>может превысить 20,2 млрд. рублей благодаря росту прибыли от экспортной деятельности предприятий рыболовства, рыбоводства, транспортных компаний</w:t>
      </w:r>
      <w:r w:rsidR="00D30284" w:rsidRPr="0029717F">
        <w:t>, а также сохранению положительного финансового результата деятельности крупных предприятий производства и распределения электроэнергии, газа и воды</w:t>
      </w:r>
      <w:r w:rsidR="005D67A6" w:rsidRPr="0029717F">
        <w:t xml:space="preserve"> </w:t>
      </w:r>
      <w:r w:rsidR="007B7780" w:rsidRPr="0029717F">
        <w:t xml:space="preserve">на фоне </w:t>
      </w:r>
      <w:r w:rsidR="005D67A6" w:rsidRPr="0029717F">
        <w:t>роста собираемости платежей населения за коммунальные услуги в первом квартале 2015 года до 86,1</w:t>
      </w:r>
      <w:proofErr w:type="gramEnd"/>
      <w:r w:rsidR="005D67A6" w:rsidRPr="0029717F">
        <w:t>% с 79,5% в январе-ма</w:t>
      </w:r>
      <w:r w:rsidR="00713DFE" w:rsidRPr="0029717F">
        <w:t>р</w:t>
      </w:r>
      <w:r w:rsidR="005D67A6" w:rsidRPr="0029717F">
        <w:t>те 2014 года (77,1% в январе-декабре 2014 года)</w:t>
      </w:r>
      <w:r w:rsidRPr="0029717F">
        <w:t>.</w:t>
      </w:r>
      <w:r w:rsidR="00687480" w:rsidRPr="0029717F">
        <w:t xml:space="preserve"> </w:t>
      </w:r>
    </w:p>
    <w:p w:rsidR="000C6B7C" w:rsidRDefault="000C6B7C" w:rsidP="008552CA">
      <w:pPr>
        <w:jc w:val="center"/>
        <w:rPr>
          <w:szCs w:val="28"/>
        </w:rPr>
      </w:pPr>
    </w:p>
    <w:p w:rsidR="000C6B7C" w:rsidRPr="000C6B7C" w:rsidRDefault="000C6B7C" w:rsidP="000C6B7C">
      <w:pPr>
        <w:ind w:firstLine="709"/>
        <w:rPr>
          <w:b/>
        </w:rPr>
      </w:pPr>
      <w:r w:rsidRPr="000C6B7C">
        <w:rPr>
          <w:b/>
        </w:rPr>
        <w:t>Труд и занятость</w:t>
      </w:r>
    </w:p>
    <w:p w:rsidR="000C6B7C" w:rsidRPr="00395E7F" w:rsidRDefault="000C6B7C" w:rsidP="000C6B7C">
      <w:pPr>
        <w:ind w:firstLine="709"/>
        <w:rPr>
          <w:b/>
        </w:rPr>
      </w:pPr>
    </w:p>
    <w:p w:rsidR="000C6B7C" w:rsidRDefault="000C6B7C" w:rsidP="000C6B7C">
      <w:pPr>
        <w:ind w:firstLine="709"/>
        <w:jc w:val="both"/>
        <w:rPr>
          <w:szCs w:val="28"/>
        </w:rPr>
      </w:pPr>
      <w:r>
        <w:rPr>
          <w:szCs w:val="28"/>
        </w:rPr>
        <w:t>Сложившаяся в городе Мурманске демографическая ситуация характеризуется, в частности, сокращением численности трудоспособного населения. Так, за 2014 год численность населения данной возрастной категории снизилась на 4,2 тыс. человек и составила 185,63 тыс. человек. С учетом присоединения</w:t>
      </w:r>
      <w:r w:rsidRPr="00A922E7">
        <w:rPr>
          <w:szCs w:val="28"/>
        </w:rPr>
        <w:t xml:space="preserve"> п.г.т. </w:t>
      </w:r>
      <w:proofErr w:type="spellStart"/>
      <w:r w:rsidRPr="00A922E7">
        <w:rPr>
          <w:szCs w:val="28"/>
        </w:rPr>
        <w:t>Росляково</w:t>
      </w:r>
      <w:proofErr w:type="spellEnd"/>
      <w:r w:rsidRPr="00A922E7">
        <w:rPr>
          <w:szCs w:val="28"/>
        </w:rPr>
        <w:t xml:space="preserve"> к </w:t>
      </w:r>
      <w:r w:rsidRPr="00A922E7">
        <w:rPr>
          <w:color w:val="000000"/>
          <w:szCs w:val="28"/>
        </w:rPr>
        <w:t>городу Мурманску</w:t>
      </w:r>
      <w:r>
        <w:rPr>
          <w:color w:val="000000"/>
          <w:szCs w:val="28"/>
        </w:rPr>
        <w:t xml:space="preserve"> с 01.01.2015</w:t>
      </w:r>
      <w:r w:rsidRPr="00A922E7">
        <w:rPr>
          <w:color w:val="000000"/>
          <w:szCs w:val="28"/>
        </w:rPr>
        <w:t xml:space="preserve"> ожидается</w:t>
      </w:r>
      <w:r>
        <w:rPr>
          <w:color w:val="000000"/>
          <w:szCs w:val="28"/>
        </w:rPr>
        <w:t>, что в среднем за 2015 год численность трудоспособного населения составит</w:t>
      </w:r>
      <w:r w:rsidRPr="00A922E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186,37 </w:t>
      </w:r>
      <w:r w:rsidRPr="00A922E7">
        <w:rPr>
          <w:color w:val="000000"/>
          <w:szCs w:val="28"/>
        </w:rPr>
        <w:t>тыс. человек.</w:t>
      </w:r>
    </w:p>
    <w:p w:rsidR="000C6B7C" w:rsidRPr="0012313D" w:rsidRDefault="000C6B7C" w:rsidP="000C6B7C">
      <w:pPr>
        <w:ind w:firstLine="709"/>
        <w:jc w:val="both"/>
        <w:rPr>
          <w:szCs w:val="28"/>
        </w:rPr>
      </w:pPr>
      <w:r w:rsidRPr="0012313D">
        <w:rPr>
          <w:szCs w:val="28"/>
        </w:rPr>
        <w:t xml:space="preserve">При этом в первом полугодии текущего года отмечено сокращение численности работников организаций  города Мурманск (без субъектов малого предпринимательства) до </w:t>
      </w:r>
      <w:r>
        <w:rPr>
          <w:szCs w:val="28"/>
        </w:rPr>
        <w:t>97,79</w:t>
      </w:r>
      <w:r w:rsidRPr="0012313D">
        <w:rPr>
          <w:szCs w:val="28"/>
        </w:rPr>
        <w:t xml:space="preserve"> тыс. человек или на </w:t>
      </w:r>
      <w:r>
        <w:rPr>
          <w:szCs w:val="28"/>
        </w:rPr>
        <w:t>1,8</w:t>
      </w:r>
      <w:r w:rsidRPr="0012313D">
        <w:rPr>
          <w:szCs w:val="28"/>
        </w:rPr>
        <w:t>%</w:t>
      </w:r>
      <w:r>
        <w:rPr>
          <w:szCs w:val="28"/>
        </w:rPr>
        <w:t xml:space="preserve"> по сравнению</w:t>
      </w:r>
      <w:r w:rsidRPr="0012313D">
        <w:rPr>
          <w:szCs w:val="28"/>
        </w:rPr>
        <w:t xml:space="preserve"> с аналогичным периодом 2013 года. К концу 201</w:t>
      </w:r>
      <w:r>
        <w:rPr>
          <w:szCs w:val="28"/>
        </w:rPr>
        <w:t>5</w:t>
      </w:r>
      <w:r w:rsidRPr="0012313D">
        <w:rPr>
          <w:szCs w:val="28"/>
        </w:rPr>
        <w:t xml:space="preserve"> года ожидается сокращение численности работников организаций до </w:t>
      </w:r>
      <w:r>
        <w:rPr>
          <w:szCs w:val="28"/>
        </w:rPr>
        <w:t>99,33</w:t>
      </w:r>
      <w:r w:rsidRPr="0012313D">
        <w:rPr>
          <w:szCs w:val="28"/>
        </w:rPr>
        <w:t xml:space="preserve"> тыс. человек. </w:t>
      </w:r>
    </w:p>
    <w:p w:rsidR="000C6B7C" w:rsidRPr="0012313D" w:rsidRDefault="000C6B7C" w:rsidP="000C6B7C">
      <w:pPr>
        <w:ind w:firstLine="709"/>
        <w:jc w:val="both"/>
        <w:rPr>
          <w:szCs w:val="28"/>
        </w:rPr>
      </w:pPr>
      <w:r w:rsidRPr="0012313D">
        <w:rPr>
          <w:szCs w:val="28"/>
        </w:rPr>
        <w:t xml:space="preserve">На фоне сокращения численности работников организаций города Мурманска отмечается рост среднемесячной номинальной начисленной заработной платы. В первом полугодии текущего года ее рост составил </w:t>
      </w:r>
      <w:r>
        <w:rPr>
          <w:szCs w:val="28"/>
        </w:rPr>
        <w:t>105,4</w:t>
      </w:r>
      <w:r w:rsidRPr="0012313D">
        <w:rPr>
          <w:szCs w:val="28"/>
        </w:rPr>
        <w:t xml:space="preserve">% к соответствующему периоду 2013 года. </w:t>
      </w:r>
      <w:r>
        <w:t xml:space="preserve">В 2015 году, несмотря на ожидаемый номинальный рост заработной платы на 3,7%, учитывая кризисные явления в стране, в частности, ожидаемый до конца года индекс потребительских цен (115,1%), в реальном выражении в текущем году заработная плата горожан </w:t>
      </w:r>
      <w:proofErr w:type="gramStart"/>
      <w:r>
        <w:t>сократится на 9,9% и составит</w:t>
      </w:r>
      <w:proofErr w:type="gramEnd"/>
      <w:r>
        <w:t xml:space="preserve"> 51 998,29 рублей</w:t>
      </w:r>
    </w:p>
    <w:p w:rsidR="000C6B7C" w:rsidRDefault="000C6B7C" w:rsidP="000C6B7C">
      <w:pPr>
        <w:ind w:firstLine="709"/>
        <w:jc w:val="both"/>
        <w:rPr>
          <w:szCs w:val="28"/>
        </w:rPr>
      </w:pPr>
      <w:r w:rsidRPr="0012313D">
        <w:rPr>
          <w:szCs w:val="28"/>
        </w:rPr>
        <w:t>Численность безработных, зарегистрированных в службах занятости, по итогам первого полугодия 201</w:t>
      </w:r>
      <w:r>
        <w:rPr>
          <w:szCs w:val="28"/>
        </w:rPr>
        <w:t>5</w:t>
      </w:r>
      <w:r w:rsidRPr="0012313D">
        <w:rPr>
          <w:szCs w:val="28"/>
        </w:rPr>
        <w:t xml:space="preserve"> года составила 1,6</w:t>
      </w:r>
      <w:r>
        <w:rPr>
          <w:szCs w:val="28"/>
        </w:rPr>
        <w:t>2</w:t>
      </w:r>
      <w:r w:rsidRPr="0012313D">
        <w:rPr>
          <w:szCs w:val="28"/>
        </w:rPr>
        <w:t xml:space="preserve"> тыс. человек, сократившись на </w:t>
      </w:r>
      <w:r>
        <w:rPr>
          <w:szCs w:val="28"/>
        </w:rPr>
        <w:t>4,1</w:t>
      </w:r>
      <w:r w:rsidRPr="0012313D">
        <w:rPr>
          <w:szCs w:val="28"/>
        </w:rPr>
        <w:t>% к аналогичному периоду 201</w:t>
      </w:r>
      <w:r>
        <w:rPr>
          <w:szCs w:val="28"/>
        </w:rPr>
        <w:t>4</w:t>
      </w:r>
      <w:r w:rsidRPr="0012313D">
        <w:rPr>
          <w:szCs w:val="28"/>
        </w:rPr>
        <w:t xml:space="preserve"> года. К концу текущего года ожидается сокращение численности безработных, зарегистрированных в службах занятости до </w:t>
      </w:r>
      <w:r>
        <w:rPr>
          <w:szCs w:val="28"/>
        </w:rPr>
        <w:t>1,48</w:t>
      </w:r>
      <w:r w:rsidRPr="0012313D">
        <w:rPr>
          <w:szCs w:val="28"/>
        </w:rPr>
        <w:t xml:space="preserve"> тыс. человек.</w:t>
      </w:r>
    </w:p>
    <w:p w:rsidR="000C6B7C" w:rsidRDefault="000C6B7C" w:rsidP="008552CA">
      <w:pPr>
        <w:jc w:val="center"/>
        <w:rPr>
          <w:szCs w:val="28"/>
        </w:rPr>
      </w:pPr>
    </w:p>
    <w:p w:rsidR="008552CA" w:rsidRPr="0029717F" w:rsidRDefault="008552CA" w:rsidP="008552CA">
      <w:pPr>
        <w:jc w:val="center"/>
        <w:rPr>
          <w:szCs w:val="28"/>
        </w:rPr>
      </w:pPr>
      <w:r w:rsidRPr="0029717F">
        <w:rPr>
          <w:szCs w:val="28"/>
        </w:rPr>
        <w:t>____________________</w:t>
      </w:r>
    </w:p>
    <w:p w:rsidR="006473B2" w:rsidRPr="0029717F" w:rsidRDefault="006473B2"/>
    <w:sectPr w:rsidR="006473B2" w:rsidRPr="0029717F" w:rsidSect="00F6581E">
      <w:headerReference w:type="default" r:id="rId7"/>
      <w:pgSz w:w="11906" w:h="16838"/>
      <w:pgMar w:top="1134" w:right="851" w:bottom="993" w:left="1418" w:header="709" w:footer="28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643" w:rsidRDefault="00E81643">
      <w:r>
        <w:separator/>
      </w:r>
    </w:p>
  </w:endnote>
  <w:endnote w:type="continuationSeparator" w:id="0">
    <w:p w:rsidR="00E81643" w:rsidRDefault="00E81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643" w:rsidRDefault="00E81643">
      <w:r>
        <w:separator/>
      </w:r>
    </w:p>
  </w:footnote>
  <w:footnote w:type="continuationSeparator" w:id="0">
    <w:p w:rsidR="00E81643" w:rsidRDefault="00E816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480" w:rsidRPr="00ED3C00" w:rsidRDefault="005A2011" w:rsidP="006473B2">
    <w:pPr>
      <w:pStyle w:val="a3"/>
      <w:spacing w:after="120"/>
      <w:jc w:val="center"/>
    </w:pPr>
    <w:r>
      <w:fldChar w:fldCharType="begin"/>
    </w:r>
    <w:r w:rsidR="00687480">
      <w:instrText xml:space="preserve"> PAGE   \* MERGEFORMAT </w:instrText>
    </w:r>
    <w:r>
      <w:fldChar w:fldCharType="separate"/>
    </w:r>
    <w:r w:rsidR="000C6B7C">
      <w:rPr>
        <w:noProof/>
      </w:rPr>
      <w:t>8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52CA"/>
    <w:rsid w:val="00003AFB"/>
    <w:rsid w:val="0001490E"/>
    <w:rsid w:val="0002043F"/>
    <w:rsid w:val="00021245"/>
    <w:rsid w:val="00037FCA"/>
    <w:rsid w:val="000438E6"/>
    <w:rsid w:val="000C2467"/>
    <w:rsid w:val="000C6B7C"/>
    <w:rsid w:val="000F5363"/>
    <w:rsid w:val="00110C62"/>
    <w:rsid w:val="00113842"/>
    <w:rsid w:val="001159E3"/>
    <w:rsid w:val="001842D4"/>
    <w:rsid w:val="001C40E4"/>
    <w:rsid w:val="001C6DA6"/>
    <w:rsid w:val="001C7245"/>
    <w:rsid w:val="001D6533"/>
    <w:rsid w:val="001D6AD6"/>
    <w:rsid w:val="001D6F5E"/>
    <w:rsid w:val="002533DE"/>
    <w:rsid w:val="00256271"/>
    <w:rsid w:val="00266F66"/>
    <w:rsid w:val="00273254"/>
    <w:rsid w:val="002934AC"/>
    <w:rsid w:val="0029717F"/>
    <w:rsid w:val="002B0ABF"/>
    <w:rsid w:val="00302463"/>
    <w:rsid w:val="00304598"/>
    <w:rsid w:val="00311A64"/>
    <w:rsid w:val="00317EDD"/>
    <w:rsid w:val="00364A4E"/>
    <w:rsid w:val="003B70E2"/>
    <w:rsid w:val="003C1159"/>
    <w:rsid w:val="003C4CC9"/>
    <w:rsid w:val="003E1F2D"/>
    <w:rsid w:val="003F04B9"/>
    <w:rsid w:val="00420DBB"/>
    <w:rsid w:val="0048111E"/>
    <w:rsid w:val="00491B29"/>
    <w:rsid w:val="00493435"/>
    <w:rsid w:val="004C74FC"/>
    <w:rsid w:val="004F63FD"/>
    <w:rsid w:val="00504C1F"/>
    <w:rsid w:val="005064B2"/>
    <w:rsid w:val="005064BA"/>
    <w:rsid w:val="00567107"/>
    <w:rsid w:val="00574A31"/>
    <w:rsid w:val="00584875"/>
    <w:rsid w:val="005852B2"/>
    <w:rsid w:val="00591D3D"/>
    <w:rsid w:val="005A2011"/>
    <w:rsid w:val="005B482B"/>
    <w:rsid w:val="005C5337"/>
    <w:rsid w:val="005D1960"/>
    <w:rsid w:val="005D3B86"/>
    <w:rsid w:val="005D67A6"/>
    <w:rsid w:val="005E7406"/>
    <w:rsid w:val="005F74CC"/>
    <w:rsid w:val="00643355"/>
    <w:rsid w:val="006473B2"/>
    <w:rsid w:val="00653FF9"/>
    <w:rsid w:val="00687480"/>
    <w:rsid w:val="006A3504"/>
    <w:rsid w:val="006D1062"/>
    <w:rsid w:val="006E6857"/>
    <w:rsid w:val="006F37F0"/>
    <w:rsid w:val="00713DFE"/>
    <w:rsid w:val="0071494B"/>
    <w:rsid w:val="00721192"/>
    <w:rsid w:val="007404F4"/>
    <w:rsid w:val="00751530"/>
    <w:rsid w:val="00773ADF"/>
    <w:rsid w:val="00791E07"/>
    <w:rsid w:val="007B7780"/>
    <w:rsid w:val="007B77FC"/>
    <w:rsid w:val="007C60AF"/>
    <w:rsid w:val="007D1B7D"/>
    <w:rsid w:val="007E372C"/>
    <w:rsid w:val="0080087C"/>
    <w:rsid w:val="0080309B"/>
    <w:rsid w:val="0083157A"/>
    <w:rsid w:val="00833FC0"/>
    <w:rsid w:val="00841C56"/>
    <w:rsid w:val="008552CA"/>
    <w:rsid w:val="008637E4"/>
    <w:rsid w:val="008A48DC"/>
    <w:rsid w:val="008C6F1F"/>
    <w:rsid w:val="008D51F1"/>
    <w:rsid w:val="008F79E7"/>
    <w:rsid w:val="00921878"/>
    <w:rsid w:val="00931A8D"/>
    <w:rsid w:val="00931D71"/>
    <w:rsid w:val="00931FD8"/>
    <w:rsid w:val="00937BB3"/>
    <w:rsid w:val="00946AB5"/>
    <w:rsid w:val="0095128C"/>
    <w:rsid w:val="00956025"/>
    <w:rsid w:val="00960D6F"/>
    <w:rsid w:val="0096712B"/>
    <w:rsid w:val="0097603B"/>
    <w:rsid w:val="009A3AF2"/>
    <w:rsid w:val="009C5136"/>
    <w:rsid w:val="009D1AA4"/>
    <w:rsid w:val="009D4647"/>
    <w:rsid w:val="00A15D8C"/>
    <w:rsid w:val="00A24BEF"/>
    <w:rsid w:val="00A349F1"/>
    <w:rsid w:val="00A3692C"/>
    <w:rsid w:val="00A44259"/>
    <w:rsid w:val="00A700C8"/>
    <w:rsid w:val="00A72449"/>
    <w:rsid w:val="00A732DD"/>
    <w:rsid w:val="00A85CDC"/>
    <w:rsid w:val="00AA568D"/>
    <w:rsid w:val="00AE0674"/>
    <w:rsid w:val="00AE4A50"/>
    <w:rsid w:val="00B01756"/>
    <w:rsid w:val="00B32488"/>
    <w:rsid w:val="00B6116B"/>
    <w:rsid w:val="00B66292"/>
    <w:rsid w:val="00B70349"/>
    <w:rsid w:val="00B7149D"/>
    <w:rsid w:val="00B71EE0"/>
    <w:rsid w:val="00B93DEF"/>
    <w:rsid w:val="00BB73D5"/>
    <w:rsid w:val="00BC7A76"/>
    <w:rsid w:val="00BD111F"/>
    <w:rsid w:val="00BD6922"/>
    <w:rsid w:val="00BE2472"/>
    <w:rsid w:val="00BF2FA3"/>
    <w:rsid w:val="00C2333D"/>
    <w:rsid w:val="00C342E7"/>
    <w:rsid w:val="00C55969"/>
    <w:rsid w:val="00C7018B"/>
    <w:rsid w:val="00C72B23"/>
    <w:rsid w:val="00C73CD7"/>
    <w:rsid w:val="00C76D73"/>
    <w:rsid w:val="00C802A2"/>
    <w:rsid w:val="00CA71A4"/>
    <w:rsid w:val="00CC2932"/>
    <w:rsid w:val="00CE4E99"/>
    <w:rsid w:val="00CF225F"/>
    <w:rsid w:val="00D22FA0"/>
    <w:rsid w:val="00D25D28"/>
    <w:rsid w:val="00D30284"/>
    <w:rsid w:val="00D560DE"/>
    <w:rsid w:val="00D668C7"/>
    <w:rsid w:val="00D84F2D"/>
    <w:rsid w:val="00DA0B84"/>
    <w:rsid w:val="00DA3976"/>
    <w:rsid w:val="00DB328E"/>
    <w:rsid w:val="00DB6B92"/>
    <w:rsid w:val="00DB79EE"/>
    <w:rsid w:val="00DC368B"/>
    <w:rsid w:val="00DF08A6"/>
    <w:rsid w:val="00E02724"/>
    <w:rsid w:val="00E253F3"/>
    <w:rsid w:val="00E26BEC"/>
    <w:rsid w:val="00E306CB"/>
    <w:rsid w:val="00E432BF"/>
    <w:rsid w:val="00E467F9"/>
    <w:rsid w:val="00E516A0"/>
    <w:rsid w:val="00E56DCA"/>
    <w:rsid w:val="00E81643"/>
    <w:rsid w:val="00EA56E5"/>
    <w:rsid w:val="00EA713D"/>
    <w:rsid w:val="00EB41C9"/>
    <w:rsid w:val="00EC5B9B"/>
    <w:rsid w:val="00EE6C95"/>
    <w:rsid w:val="00EF1C07"/>
    <w:rsid w:val="00EF65E5"/>
    <w:rsid w:val="00F05E38"/>
    <w:rsid w:val="00F123F6"/>
    <w:rsid w:val="00F140B1"/>
    <w:rsid w:val="00F23736"/>
    <w:rsid w:val="00F45F86"/>
    <w:rsid w:val="00F51359"/>
    <w:rsid w:val="00F6581E"/>
    <w:rsid w:val="00F86147"/>
    <w:rsid w:val="00FA108A"/>
    <w:rsid w:val="00FB6A9F"/>
    <w:rsid w:val="00FB7883"/>
    <w:rsid w:val="00FD0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2C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552CA"/>
    <w:pPr>
      <w:keepNext/>
      <w:spacing w:before="360" w:after="120"/>
      <w:ind w:firstLine="709"/>
      <w:jc w:val="both"/>
      <w:outlineLvl w:val="0"/>
    </w:pPr>
    <w:rPr>
      <w:b/>
      <w:bCs/>
      <w:caps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1D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52CA"/>
    <w:rPr>
      <w:rFonts w:ascii="Times New Roman" w:eastAsia="Times New Roman" w:hAnsi="Times New Roman" w:cs="Times New Roman"/>
      <w:b/>
      <w:bCs/>
      <w:caps/>
      <w:sz w:val="24"/>
      <w:szCs w:val="20"/>
      <w:lang w:eastAsia="ru-RU"/>
    </w:rPr>
  </w:style>
  <w:style w:type="paragraph" w:styleId="a3">
    <w:name w:val="header"/>
    <w:basedOn w:val="a"/>
    <w:link w:val="a4"/>
    <w:unhideWhenUsed/>
    <w:rsid w:val="008552CA"/>
    <w:pPr>
      <w:tabs>
        <w:tab w:val="center" w:pos="4677"/>
        <w:tab w:val="right" w:pos="9355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rsid w:val="008552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E467F9"/>
    <w:pPr>
      <w:spacing w:before="100" w:beforeAutospacing="1" w:after="100" w:afterAutospacing="1"/>
    </w:pPr>
    <w:rPr>
      <w:sz w:val="24"/>
      <w:szCs w:val="24"/>
    </w:rPr>
  </w:style>
  <w:style w:type="character" w:styleId="a6">
    <w:name w:val="Emphasis"/>
    <w:basedOn w:val="a0"/>
    <w:uiPriority w:val="20"/>
    <w:qFormat/>
    <w:rsid w:val="00E467F9"/>
    <w:rPr>
      <w:i/>
      <w:iCs/>
    </w:rPr>
  </w:style>
  <w:style w:type="paragraph" w:styleId="21">
    <w:name w:val="Body Text Indent 2"/>
    <w:basedOn w:val="a"/>
    <w:link w:val="22"/>
    <w:rsid w:val="00491B29"/>
    <w:pPr>
      <w:ind w:firstLine="708"/>
      <w:jc w:val="both"/>
    </w:pPr>
    <w:rPr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491B29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20">
    <w:name w:val="Основной текст 22"/>
    <w:basedOn w:val="a"/>
    <w:rsid w:val="00491B29"/>
    <w:pPr>
      <w:ind w:firstLine="567"/>
      <w:jc w:val="both"/>
    </w:pPr>
    <w:rPr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1D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No Spacing"/>
    <w:uiPriority w:val="1"/>
    <w:qFormat/>
    <w:rsid w:val="006473B2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658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658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E067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06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2C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552CA"/>
    <w:pPr>
      <w:keepNext/>
      <w:spacing w:before="360" w:after="120"/>
      <w:ind w:firstLine="709"/>
      <w:jc w:val="both"/>
      <w:outlineLvl w:val="0"/>
    </w:pPr>
    <w:rPr>
      <w:b/>
      <w:bCs/>
      <w:caps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1D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52CA"/>
    <w:rPr>
      <w:rFonts w:ascii="Times New Roman" w:eastAsia="Times New Roman" w:hAnsi="Times New Roman" w:cs="Times New Roman"/>
      <w:b/>
      <w:bCs/>
      <w:caps/>
      <w:sz w:val="24"/>
      <w:szCs w:val="20"/>
      <w:lang w:eastAsia="ru-RU"/>
    </w:rPr>
  </w:style>
  <w:style w:type="paragraph" w:styleId="a3">
    <w:name w:val="header"/>
    <w:basedOn w:val="a"/>
    <w:link w:val="a4"/>
    <w:unhideWhenUsed/>
    <w:rsid w:val="008552CA"/>
    <w:pPr>
      <w:tabs>
        <w:tab w:val="center" w:pos="4677"/>
        <w:tab w:val="right" w:pos="9355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rsid w:val="008552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E467F9"/>
    <w:pPr>
      <w:spacing w:before="100" w:beforeAutospacing="1" w:after="100" w:afterAutospacing="1"/>
    </w:pPr>
    <w:rPr>
      <w:sz w:val="24"/>
      <w:szCs w:val="24"/>
    </w:rPr>
  </w:style>
  <w:style w:type="character" w:styleId="a6">
    <w:name w:val="Emphasis"/>
    <w:basedOn w:val="a0"/>
    <w:uiPriority w:val="20"/>
    <w:qFormat/>
    <w:rsid w:val="00E467F9"/>
    <w:rPr>
      <w:i/>
      <w:iCs/>
    </w:rPr>
  </w:style>
  <w:style w:type="paragraph" w:styleId="21">
    <w:name w:val="Body Text Indent 2"/>
    <w:basedOn w:val="a"/>
    <w:link w:val="22"/>
    <w:rsid w:val="00491B29"/>
    <w:pPr>
      <w:ind w:firstLine="708"/>
      <w:jc w:val="both"/>
    </w:pPr>
    <w:rPr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491B29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20">
    <w:name w:val="Основной текст 22"/>
    <w:basedOn w:val="a"/>
    <w:rsid w:val="00491B29"/>
    <w:pPr>
      <w:ind w:firstLine="567"/>
      <w:jc w:val="both"/>
    </w:pPr>
    <w:rPr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1D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No Spacing"/>
    <w:uiPriority w:val="1"/>
    <w:qFormat/>
    <w:rsid w:val="006473B2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658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658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E067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06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EE322-63E6-4616-8687-EFD971464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3182</Words>
  <Characters>18140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Медведева</dc:creator>
  <cp:lastModifiedBy>Dmitrieva</cp:lastModifiedBy>
  <cp:revision>2</cp:revision>
  <cp:lastPrinted>2015-08-31T06:44:00Z</cp:lastPrinted>
  <dcterms:created xsi:type="dcterms:W3CDTF">2015-09-01T13:22:00Z</dcterms:created>
  <dcterms:modified xsi:type="dcterms:W3CDTF">2015-09-01T13:22:00Z</dcterms:modified>
</cp:coreProperties>
</file>